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65" w:rsidRPr="00567441" w:rsidRDefault="00567441">
      <w:pPr>
        <w:rPr>
          <w:rFonts w:ascii="Sylfaen" w:hAnsi="Sylfaen"/>
          <w:b/>
          <w:bCs/>
          <w:sz w:val="28"/>
          <w:szCs w:val="28"/>
          <w:rtl/>
        </w:rPr>
      </w:pPr>
      <w:r w:rsidRPr="00567441">
        <w:rPr>
          <w:rFonts w:ascii="Sylfaen" w:hAnsi="Sylfaen"/>
          <w:b/>
          <w:bCs/>
          <w:sz w:val="28"/>
          <w:szCs w:val="28"/>
          <w:lang w:val="fr-FR"/>
        </w:rPr>
        <w:t xml:space="preserve">De la </w:t>
      </w:r>
      <w:r>
        <w:rPr>
          <w:rFonts w:ascii="Sylfaen" w:hAnsi="Sylfaen"/>
          <w:b/>
          <w:bCs/>
          <w:sz w:val="28"/>
          <w:szCs w:val="28"/>
          <w:lang w:val="fr-FR"/>
        </w:rPr>
        <w:t>diffé</w:t>
      </w:r>
      <w:r w:rsidRPr="00567441">
        <w:rPr>
          <w:rFonts w:ascii="Sylfaen" w:hAnsi="Sylfaen"/>
          <w:b/>
          <w:bCs/>
          <w:sz w:val="28"/>
          <w:szCs w:val="28"/>
          <w:lang w:val="fr-FR"/>
        </w:rPr>
        <w:t>rence entre vengeance et punition</w:t>
      </w:r>
    </w:p>
    <w:p w:rsidR="00764CA4" w:rsidRDefault="00764CA4">
      <w:pPr>
        <w:rPr>
          <w:rtl/>
        </w:rPr>
      </w:pPr>
    </w:p>
    <w:p w:rsidR="00764CA4" w:rsidRDefault="00764CA4" w:rsidP="00764CA4">
      <w:pPr>
        <w:rPr>
          <w:rFonts w:ascii="Sylfaen" w:hAnsi="Sylfaen"/>
          <w:sz w:val="24"/>
          <w:szCs w:val="24"/>
          <w:lang w:val="fr-FR"/>
        </w:rPr>
      </w:pPr>
      <w:r w:rsidRPr="00764CA4">
        <w:rPr>
          <w:rFonts w:ascii="Sylfaen" w:hAnsi="Sylfaen"/>
          <w:sz w:val="24"/>
          <w:szCs w:val="24"/>
          <w:lang w:val="fr-FR"/>
        </w:rPr>
        <w:t>La vengeance se distingue de la punition en ce que l’une est une r</w:t>
      </w:r>
      <w:r>
        <w:rPr>
          <w:rFonts w:ascii="Sylfaen" w:hAnsi="Sylfaen"/>
          <w:sz w:val="24"/>
          <w:szCs w:val="24"/>
          <w:lang w:val="fr-FR"/>
        </w:rPr>
        <w:t>éparation obtenue par un acte de la partie lésée, tandis que l’autre est l’œuvre d’un juge. Il faut donc que la réparation soit effectuée à titre de punition, car, dans la vengeance, la passion joue son rôle, et le droit se trouve troublé. De plus,</w:t>
      </w:r>
      <w:r w:rsidR="003C3A9A">
        <w:rPr>
          <w:rFonts w:ascii="Sylfaen" w:hAnsi="Sylfaen"/>
          <w:sz w:val="24"/>
          <w:szCs w:val="24"/>
          <w:lang w:val="fr-FR"/>
        </w:rPr>
        <w:t xml:space="preserve"> la vengeance</w:t>
      </w:r>
      <w:bookmarkStart w:id="0" w:name="_GoBack"/>
      <w:bookmarkEnd w:id="0"/>
      <w:r>
        <w:rPr>
          <w:rFonts w:ascii="Sylfaen" w:hAnsi="Sylfaen"/>
          <w:sz w:val="24"/>
          <w:szCs w:val="24"/>
          <w:lang w:val="fr-FR"/>
        </w:rPr>
        <w:t xml:space="preserve"> n’a pas la forme du droit, mais celle de l’arbitraire, car la partie lésée agit toujours par sentiment ou selon un mode subjectif. Aussi bien, quand le droit se présente sous la forme de vengeance, il constitue à son tour une nouvelle offense, n’est senti que comme conduite individu</w:t>
      </w:r>
      <w:r w:rsidR="0064684C">
        <w:rPr>
          <w:rFonts w:ascii="Sylfaen" w:hAnsi="Sylfaen"/>
          <w:sz w:val="24"/>
          <w:szCs w:val="24"/>
          <w:lang w:val="fr-FR"/>
        </w:rPr>
        <w:t>elle, et provoque</w:t>
      </w:r>
      <w:r>
        <w:rPr>
          <w:rFonts w:ascii="Sylfaen" w:hAnsi="Sylfaen"/>
          <w:sz w:val="24"/>
          <w:szCs w:val="24"/>
          <w:lang w:val="fr-FR"/>
        </w:rPr>
        <w:t xml:space="preserve">, à l’infini, de nouvelles vengeances. </w:t>
      </w:r>
    </w:p>
    <w:p w:rsidR="009D09EC" w:rsidRPr="00534430" w:rsidRDefault="009D09EC" w:rsidP="009D09EC">
      <w:pPr>
        <w:jc w:val="right"/>
        <w:rPr>
          <w:rFonts w:ascii="Sylfaen" w:hAnsi="Sylfaen"/>
          <w:sz w:val="20"/>
          <w:szCs w:val="20"/>
          <w:lang w:val="fr-FR"/>
        </w:rPr>
      </w:pPr>
      <w:r>
        <w:rPr>
          <w:rFonts w:ascii="Sylfaen" w:hAnsi="Sylfaen"/>
          <w:sz w:val="20"/>
          <w:szCs w:val="20"/>
          <w:lang w:val="fr-FR"/>
        </w:rPr>
        <w:t xml:space="preserve">               </w:t>
      </w:r>
      <w:r w:rsidRPr="00534430">
        <w:rPr>
          <w:rFonts w:ascii="Sylfaen" w:hAnsi="Sylfaen"/>
          <w:sz w:val="20"/>
          <w:szCs w:val="20"/>
          <w:lang w:val="fr-FR"/>
        </w:rPr>
        <w:t xml:space="preserve">Georg Wilhelm Friedrich Hegel, </w:t>
      </w:r>
      <w:r w:rsidRPr="00534430">
        <w:rPr>
          <w:rFonts w:ascii="Sylfaen" w:hAnsi="Sylfaen"/>
          <w:i/>
          <w:iCs/>
          <w:sz w:val="20"/>
          <w:szCs w:val="20"/>
          <w:lang w:val="fr-FR"/>
        </w:rPr>
        <w:t>Propédeutique philosophique</w:t>
      </w:r>
      <w:r w:rsidRPr="00534430">
        <w:rPr>
          <w:rFonts w:ascii="Sylfaen" w:hAnsi="Sylfaen"/>
          <w:sz w:val="20"/>
          <w:szCs w:val="20"/>
          <w:lang w:val="fr-FR"/>
        </w:rPr>
        <w:t>. Trad. M. de Gandillac. Coll. « Arguments », les éditions de Minuit, 1963, p. 45.</w:t>
      </w:r>
    </w:p>
    <w:p w:rsidR="009D09EC" w:rsidRPr="00534430" w:rsidRDefault="009D09EC" w:rsidP="009D09EC">
      <w:pPr>
        <w:rPr>
          <w:rFonts w:ascii="Sylfaen" w:hAnsi="Sylfaen"/>
          <w:sz w:val="20"/>
          <w:szCs w:val="20"/>
          <w:lang w:val="fr-FR"/>
        </w:rPr>
      </w:pPr>
    </w:p>
    <w:p w:rsidR="009D09EC" w:rsidRPr="00764CA4" w:rsidRDefault="009D09EC" w:rsidP="009D09EC">
      <w:pPr>
        <w:jc w:val="right"/>
        <w:rPr>
          <w:rFonts w:ascii="Sylfaen" w:hAnsi="Sylfaen"/>
          <w:sz w:val="24"/>
          <w:szCs w:val="24"/>
          <w:lang w:val="fr-FR"/>
        </w:rPr>
      </w:pPr>
    </w:p>
    <w:sectPr w:rsidR="009D09EC" w:rsidRPr="0076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A4"/>
    <w:rsid w:val="001F7D65"/>
    <w:rsid w:val="003C3A9A"/>
    <w:rsid w:val="00475196"/>
    <w:rsid w:val="00567441"/>
    <w:rsid w:val="0064684C"/>
    <w:rsid w:val="00764CA4"/>
    <w:rsid w:val="009D0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D99C"/>
  <w15:chartTrackingRefBased/>
  <w15:docId w15:val="{51850A33-7812-4AB4-B0CE-78E0A38C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Heneine</dc:creator>
  <cp:keywords/>
  <dc:description/>
  <cp:lastModifiedBy>Youssef Heneine</cp:lastModifiedBy>
  <cp:revision>5</cp:revision>
  <dcterms:created xsi:type="dcterms:W3CDTF">2021-03-17T14:55:00Z</dcterms:created>
  <dcterms:modified xsi:type="dcterms:W3CDTF">2021-03-18T05:21:00Z</dcterms:modified>
</cp:coreProperties>
</file>