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01" w:rsidRPr="00594CE8" w:rsidRDefault="00305A83" w:rsidP="00594C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594CE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Message nerveux:</w:t>
      </w:r>
    </w:p>
    <w:p w:rsidR="00305A83" w:rsidRPr="00594CE8" w:rsidRDefault="00305A83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377C" w:rsidRPr="00594CE8" w:rsidRDefault="002D377C" w:rsidP="00594CE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CE8">
        <w:rPr>
          <w:rFonts w:ascii="Times New Roman" w:hAnsi="Times New Roman" w:cs="Times New Roman"/>
          <w:sz w:val="24"/>
          <w:szCs w:val="24"/>
        </w:rPr>
        <w:t xml:space="preserve">L’intensité seuil de la fibre 1 est supérieure à 1mmol/L et inférieure ou égale 3 mmol/LC car il n’y a pas de réponse quand la concentration est de 1 par contre on a 2 PA pour une concentration de 3. L’intensité seuil étant l’intensité qui marque l’enregistrement du premier PA. </w:t>
      </w:r>
    </w:p>
    <w:p w:rsidR="002D377C" w:rsidRPr="00594CE8" w:rsidRDefault="002D377C" w:rsidP="00594CE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CE8">
        <w:rPr>
          <w:rFonts w:ascii="Times New Roman" w:hAnsi="Times New Roman" w:cs="Times New Roman"/>
          <w:sz w:val="24"/>
          <w:szCs w:val="24"/>
        </w:rPr>
        <w:t>La fréquence de PA augmente de 1 à 12 PA mais l'amplitude des PA reste constante quand la concentration de sel utilisé augmente de 3 à 100 mmol/L.  Alors le message nerveux est codé, au niveau de la fibre nerveuse, en fréquence de PA et non en amplitude.</w:t>
      </w:r>
      <w:r w:rsidR="00594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77C" w:rsidRPr="00594CE8" w:rsidRDefault="002D377C" w:rsidP="00594CE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CE8">
        <w:rPr>
          <w:rFonts w:ascii="Times New Roman" w:hAnsi="Times New Roman" w:cs="Times New Roman"/>
          <w:sz w:val="24"/>
          <w:szCs w:val="24"/>
        </w:rPr>
        <w:t>Cette synapse est excitatrice car un message nerveux est enregistré au niveau de la fibre postsynaptique suite à la stimulation du neurone présynaptique.</w:t>
      </w:r>
    </w:p>
    <w:p w:rsidR="002D377C" w:rsidRPr="00594CE8" w:rsidRDefault="002D377C" w:rsidP="00594CE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CE8">
        <w:rPr>
          <w:rFonts w:ascii="Times New Roman" w:hAnsi="Times New Roman" w:cs="Times New Roman"/>
          <w:sz w:val="24"/>
          <w:szCs w:val="24"/>
        </w:rPr>
        <w:t>Les étapes de la transmission synaptique:</w:t>
      </w:r>
    </w:p>
    <w:p w:rsidR="002D377C" w:rsidRPr="00594CE8" w:rsidRDefault="002D377C" w:rsidP="00594CE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CE8">
        <w:rPr>
          <w:rFonts w:ascii="Times New Roman" w:hAnsi="Times New Roman" w:cs="Times New Roman"/>
          <w:sz w:val="24"/>
          <w:szCs w:val="24"/>
        </w:rPr>
        <w:t>- Le message nerveux arrive au niveau du bouton terminal.</w:t>
      </w:r>
    </w:p>
    <w:p w:rsidR="002D377C" w:rsidRPr="00594CE8" w:rsidRDefault="002D377C" w:rsidP="00594CE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CE8">
        <w:rPr>
          <w:rFonts w:ascii="Times New Roman" w:hAnsi="Times New Roman" w:cs="Times New Roman"/>
          <w:sz w:val="24"/>
          <w:szCs w:val="24"/>
        </w:rPr>
        <w:t>- Il déclenche la libération par exocytose des neurotransmetteurs libérés dans la fente synaptique.</w:t>
      </w:r>
    </w:p>
    <w:p w:rsidR="002D377C" w:rsidRPr="00594CE8" w:rsidRDefault="002D377C" w:rsidP="00594CE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CE8">
        <w:rPr>
          <w:rFonts w:ascii="Times New Roman" w:hAnsi="Times New Roman" w:cs="Times New Roman"/>
          <w:sz w:val="24"/>
          <w:szCs w:val="24"/>
        </w:rPr>
        <w:t>- Les neurotransmetteurs libérés se fixent sur les récepteurs.</w:t>
      </w:r>
    </w:p>
    <w:p w:rsidR="002D377C" w:rsidRPr="00594CE8" w:rsidRDefault="002D377C" w:rsidP="00594CE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CE8">
        <w:rPr>
          <w:rFonts w:ascii="Times New Roman" w:hAnsi="Times New Roman" w:cs="Times New Roman"/>
          <w:sz w:val="24"/>
          <w:szCs w:val="24"/>
        </w:rPr>
        <w:t xml:space="preserve">- Cette fixation déclenche un message nerveux postsynaptique. </w:t>
      </w:r>
    </w:p>
    <w:p w:rsidR="002D377C" w:rsidRDefault="002D377C" w:rsidP="00594CE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CE8">
        <w:rPr>
          <w:rFonts w:ascii="Times New Roman" w:hAnsi="Times New Roman" w:cs="Times New Roman"/>
          <w:sz w:val="24"/>
          <w:szCs w:val="24"/>
        </w:rPr>
        <w:t>- Les neurotransmetteurs sont recapturés  uo dégradé s par les e</w:t>
      </w:r>
      <w:r w:rsidR="002146F0">
        <w:rPr>
          <w:rFonts w:ascii="Times New Roman" w:hAnsi="Times New Roman" w:cs="Times New Roman"/>
          <w:sz w:val="24"/>
          <w:szCs w:val="24"/>
        </w:rPr>
        <w:t>nzymes de la fente synaptique.</w:t>
      </w:r>
    </w:p>
    <w:p w:rsidR="00A46FE2" w:rsidRDefault="00A46FE2" w:rsidP="00594CE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FE2" w:rsidRPr="00594CE8" w:rsidRDefault="00A46FE2" w:rsidP="00594CE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77C" w:rsidRDefault="002D377C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0A28" w:rsidRDefault="00C90A28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0A28" w:rsidRDefault="00C90A28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0A28" w:rsidRDefault="00C90A28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0A28" w:rsidRDefault="00C90A28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0A28" w:rsidRDefault="00C90A28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0A28" w:rsidRDefault="00C90A28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0A28" w:rsidRDefault="00C90A28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0A28" w:rsidRDefault="00C90A28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0A28" w:rsidRDefault="00C90A28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0A28" w:rsidRDefault="00C90A28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0A28" w:rsidRDefault="00C90A28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0A28" w:rsidRDefault="00C90A28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0A28" w:rsidRDefault="00C90A28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0A28" w:rsidRDefault="00C90A28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0A28" w:rsidRDefault="00C90A28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0A28" w:rsidRDefault="00C90A28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0A28" w:rsidRDefault="00C90A28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0A28" w:rsidRDefault="00C90A28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0A28" w:rsidRDefault="00C90A28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0A28" w:rsidRDefault="00C90A28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0A28" w:rsidRDefault="00C90A28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0A28" w:rsidRDefault="00C90A28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0A28" w:rsidRDefault="00C90A28" w:rsidP="00C90A2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0A28" w:rsidRPr="0051024E" w:rsidRDefault="00C90A28" w:rsidP="00C90A2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6F31">
        <w:rPr>
          <w:rFonts w:ascii="Times New Roman" w:hAnsi="Times New Roman" w:cs="Times New Roman"/>
          <w:sz w:val="23"/>
          <w:szCs w:val="23"/>
        </w:rPr>
        <w:t>Etapes de la transmission synaptique :</w:t>
      </w:r>
      <w:r w:rsidR="002A4C0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90A28" w:rsidRPr="00BD6F31" w:rsidRDefault="00C90A28" w:rsidP="00C90A2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3"/>
          <w:szCs w:val="23"/>
        </w:rPr>
      </w:pPr>
      <w:r w:rsidRPr="00BD6F31">
        <w:rPr>
          <w:rFonts w:ascii="Times New Roman" w:hAnsi="Times New Roman" w:cs="Times New Roman"/>
          <w:sz w:val="23"/>
          <w:szCs w:val="23"/>
        </w:rPr>
        <w:t>1. Arrivée du message nerveux dans la terminaison présynaptique.</w:t>
      </w:r>
    </w:p>
    <w:p w:rsidR="00C90A28" w:rsidRPr="00BD6F31" w:rsidRDefault="00C90A28" w:rsidP="00C90A2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3"/>
          <w:szCs w:val="23"/>
        </w:rPr>
      </w:pPr>
      <w:r w:rsidRPr="00BD6F31">
        <w:rPr>
          <w:rFonts w:ascii="Times New Roman" w:hAnsi="Times New Roman" w:cs="Times New Roman"/>
          <w:sz w:val="23"/>
          <w:szCs w:val="23"/>
        </w:rPr>
        <w:t>2. Libération du neurotransmetteur dans la fente synaptique par exocytose</w:t>
      </w:r>
    </w:p>
    <w:p w:rsidR="00C90A28" w:rsidRPr="00BD6F31" w:rsidRDefault="00C90A28" w:rsidP="00C90A2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3"/>
          <w:szCs w:val="23"/>
        </w:rPr>
      </w:pPr>
      <w:r w:rsidRPr="00BD6F31">
        <w:rPr>
          <w:rFonts w:ascii="Times New Roman" w:hAnsi="Times New Roman" w:cs="Times New Roman"/>
          <w:sz w:val="23"/>
          <w:szCs w:val="23"/>
        </w:rPr>
        <w:t>3. Fixation du neurotransmetteur sur le récepteur spécifique de la membrane</w:t>
      </w:r>
    </w:p>
    <w:p w:rsidR="00C90A28" w:rsidRPr="004B1314" w:rsidRDefault="00C90A28" w:rsidP="00C90A2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3"/>
          <w:szCs w:val="23"/>
        </w:rPr>
      </w:pPr>
      <w:r w:rsidRPr="004B1314">
        <w:rPr>
          <w:rFonts w:ascii="Times New Roman" w:hAnsi="Times New Roman" w:cs="Times New Roman"/>
          <w:sz w:val="23"/>
          <w:szCs w:val="23"/>
        </w:rPr>
        <w:t>postsynaptique.</w:t>
      </w:r>
    </w:p>
    <w:p w:rsidR="00C90A28" w:rsidRPr="00BD6F31" w:rsidRDefault="00C90A28" w:rsidP="00C90A2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3"/>
          <w:szCs w:val="23"/>
        </w:rPr>
      </w:pPr>
      <w:r w:rsidRPr="00BD6F31">
        <w:rPr>
          <w:rFonts w:ascii="Times New Roman" w:hAnsi="Times New Roman" w:cs="Times New Roman"/>
          <w:sz w:val="23"/>
          <w:szCs w:val="23"/>
        </w:rPr>
        <w:t>4. Naissance du message nerveux dans le neurone post-synaptique</w:t>
      </w:r>
    </w:p>
    <w:p w:rsidR="00C90A28" w:rsidRDefault="00C90A28" w:rsidP="00C90A2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3"/>
          <w:szCs w:val="23"/>
        </w:rPr>
      </w:pPr>
      <w:r w:rsidRPr="00BD6F31">
        <w:rPr>
          <w:rFonts w:ascii="Times New Roman" w:hAnsi="Times New Roman" w:cs="Times New Roman"/>
          <w:sz w:val="23"/>
          <w:szCs w:val="23"/>
        </w:rPr>
        <w:t>5. Recapture et/ou dégradation du neurotransmetteur.</w:t>
      </w:r>
    </w:p>
    <w:p w:rsidR="00C90A28" w:rsidRPr="0051024E" w:rsidRDefault="00C90A28" w:rsidP="00C90A2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90A28" w:rsidRPr="00A82946" w:rsidRDefault="00C90A28" w:rsidP="00C90A2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 xml:space="preserve">Titre : </w:t>
      </w:r>
      <w:r w:rsidRPr="00A82946">
        <w:rPr>
          <w:rFonts w:ascii="Times New Roman" w:hAnsi="Times New Roman" w:cs="Times New Roman"/>
          <w:sz w:val="23"/>
          <w:szCs w:val="23"/>
        </w:rPr>
        <w:t>Amplitude de la contraction musculaire sans ou avec ésérine.</w:t>
      </w:r>
      <w:r w:rsidR="00EB0A2C">
        <w:rPr>
          <w:rFonts w:ascii="Times New Roman" w:hAnsi="Times New Roman" w:cs="Times New Roman"/>
          <w:sz w:val="23"/>
          <w:szCs w:val="23"/>
        </w:rPr>
        <w:t xml:space="preserve">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387"/>
        <w:gridCol w:w="3191"/>
      </w:tblGrid>
      <w:tr w:rsidR="00C90A28" w:rsidRPr="0030786F" w:rsidTr="00AE7161">
        <w:tc>
          <w:tcPr>
            <w:tcW w:w="4387" w:type="dxa"/>
          </w:tcPr>
          <w:p w:rsidR="00C90A28" w:rsidRDefault="00C90A28" w:rsidP="00AE716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Substances</w:t>
            </w:r>
          </w:p>
        </w:tc>
        <w:tc>
          <w:tcPr>
            <w:tcW w:w="3191" w:type="dxa"/>
          </w:tcPr>
          <w:p w:rsidR="00C90A28" w:rsidRPr="00A82946" w:rsidRDefault="00C90A28" w:rsidP="00AE716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82946">
              <w:rPr>
                <w:rFonts w:ascii="Times New Roman" w:hAnsi="Times New Roman" w:cs="Times New Roman"/>
                <w:sz w:val="23"/>
                <w:szCs w:val="23"/>
              </w:rPr>
              <w:t>Amplitude de contraction (u.a.)</w:t>
            </w:r>
          </w:p>
        </w:tc>
      </w:tr>
      <w:tr w:rsidR="00C90A28" w:rsidTr="00AE7161">
        <w:tc>
          <w:tcPr>
            <w:tcW w:w="4387" w:type="dxa"/>
          </w:tcPr>
          <w:p w:rsidR="00C90A28" w:rsidRDefault="00C90A28" w:rsidP="00AE716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Acétylcholine, sans ésérine</w:t>
            </w:r>
          </w:p>
        </w:tc>
        <w:tc>
          <w:tcPr>
            <w:tcW w:w="3191" w:type="dxa"/>
          </w:tcPr>
          <w:p w:rsidR="00C90A28" w:rsidRPr="00A82946" w:rsidRDefault="00C90A28" w:rsidP="00AE71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9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90A28" w:rsidTr="00AE7161">
        <w:tc>
          <w:tcPr>
            <w:tcW w:w="4387" w:type="dxa"/>
          </w:tcPr>
          <w:p w:rsidR="00C90A28" w:rsidRDefault="00C90A28" w:rsidP="00AE716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Acétylcholine, avec ésérine</w:t>
            </w:r>
          </w:p>
        </w:tc>
        <w:tc>
          <w:tcPr>
            <w:tcW w:w="3191" w:type="dxa"/>
          </w:tcPr>
          <w:p w:rsidR="00C90A28" w:rsidRPr="00A82946" w:rsidRDefault="00C90A28" w:rsidP="00AE71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9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C90A28" w:rsidRPr="00DC12F3" w:rsidRDefault="00C90A28" w:rsidP="00C90A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90A28" w:rsidRPr="00EE72BD" w:rsidRDefault="00C90A28" w:rsidP="00C90A2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C12F3">
        <w:rPr>
          <w:rFonts w:ascii="Times New Roman" w:hAnsi="Times New Roman" w:cs="Times New Roman"/>
          <w:sz w:val="23"/>
          <w:szCs w:val="23"/>
        </w:rPr>
        <w:t>Après l’injection de l’ésérine et en présence d’acétylcholine, l’amplitude de contraction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C12F3">
        <w:rPr>
          <w:rFonts w:ascii="Times New Roman" w:hAnsi="Times New Roman" w:cs="Times New Roman"/>
          <w:sz w:val="23"/>
          <w:szCs w:val="23"/>
        </w:rPr>
        <w:t>du muscle est de 20 u.a, valeur 1,6 fois plus élevée que 12 u.a, valeur obtenue en absence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C12F3">
        <w:rPr>
          <w:rFonts w:ascii="Times New Roman" w:hAnsi="Times New Roman" w:cs="Times New Roman"/>
          <w:sz w:val="23"/>
          <w:szCs w:val="23"/>
        </w:rPr>
        <w:t>d’ésérine.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E72BD">
        <w:rPr>
          <w:rFonts w:ascii="Times New Roman" w:hAnsi="Times New Roman" w:cs="Times New Roman"/>
          <w:sz w:val="23"/>
          <w:szCs w:val="23"/>
        </w:rPr>
        <w:t xml:space="preserve">L’ésérine amplifie l’action de l’Acétylcholine. </w:t>
      </w:r>
    </w:p>
    <w:p w:rsidR="00C90A28" w:rsidRPr="00FA6DDD" w:rsidRDefault="00C90A28" w:rsidP="00C90A2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4ED8">
        <w:rPr>
          <w:rFonts w:ascii="Times New Roman" w:hAnsi="Times New Roman" w:cs="Times New Roman"/>
          <w:sz w:val="23"/>
          <w:szCs w:val="23"/>
        </w:rPr>
        <w:t>Hypothèses :</w:t>
      </w:r>
      <w:r w:rsidR="00EB0A2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90A28" w:rsidRPr="00FA6DDD" w:rsidRDefault="00C90A28" w:rsidP="00C90A2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3"/>
          <w:szCs w:val="23"/>
        </w:rPr>
      </w:pPr>
      <w:r w:rsidRPr="00FA6DDD">
        <w:rPr>
          <w:rFonts w:ascii="Times New Roman" w:hAnsi="Times New Roman" w:cs="Times New Roman"/>
          <w:sz w:val="23"/>
          <w:szCs w:val="23"/>
        </w:rPr>
        <w:t>- L’ésérine inhibe l’hydrolyse de l’acétylcholine par l’acétylcholinestérase au niveau de la synapse neuromusculaire.</w:t>
      </w:r>
    </w:p>
    <w:p w:rsidR="00C90A28" w:rsidRPr="00FA6DDD" w:rsidRDefault="00C90A28" w:rsidP="00C90A2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3"/>
          <w:szCs w:val="23"/>
        </w:rPr>
      </w:pPr>
      <w:r w:rsidRPr="00FA6DDD">
        <w:rPr>
          <w:rFonts w:ascii="Times New Roman" w:hAnsi="Times New Roman" w:cs="Times New Roman"/>
          <w:sz w:val="23"/>
          <w:szCs w:val="23"/>
        </w:rPr>
        <w:t>- L’ésérine facilite la fixation de l’Ach sur ses récepteurs.</w:t>
      </w:r>
    </w:p>
    <w:p w:rsidR="00C90A28" w:rsidRPr="00FA6DDD" w:rsidRDefault="00C90A28" w:rsidP="00C90A2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4ED8">
        <w:rPr>
          <w:rFonts w:ascii="Times New Roman" w:hAnsi="Times New Roman" w:cs="Times New Roman"/>
          <w:sz w:val="23"/>
          <w:szCs w:val="23"/>
        </w:rPr>
        <w:t>- L’ésérine favorise l’exocytose de l’acétylcholine au niveau de la synapse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D4ED8">
        <w:rPr>
          <w:rFonts w:ascii="Times New Roman" w:hAnsi="Times New Roman" w:cs="Times New Roman"/>
          <w:sz w:val="23"/>
          <w:szCs w:val="23"/>
        </w:rPr>
        <w:t>neuromusculaire.</w:t>
      </w:r>
    </w:p>
    <w:p w:rsidR="00C90A28" w:rsidRPr="00FA6DDD" w:rsidRDefault="00C90A28" w:rsidP="00C90A2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6DDD">
        <w:rPr>
          <w:rFonts w:ascii="Times New Roman" w:hAnsi="Times New Roman" w:cs="Times New Roman"/>
          <w:sz w:val="23"/>
          <w:szCs w:val="23"/>
        </w:rPr>
        <w:t>Le document 3 montre que l’activité de l’acétylcholinestérase diminue presque de moitié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A6DDD">
        <w:rPr>
          <w:rFonts w:ascii="Times New Roman" w:hAnsi="Times New Roman" w:cs="Times New Roman"/>
          <w:sz w:val="23"/>
          <w:szCs w:val="23"/>
        </w:rPr>
        <w:t>de 100 % à 52 % en présence de l’ésérine. Alors, l’ésérine inhibe l’action de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A6DDD">
        <w:rPr>
          <w:rFonts w:ascii="Times New Roman" w:hAnsi="Times New Roman" w:cs="Times New Roman"/>
          <w:sz w:val="23"/>
          <w:szCs w:val="23"/>
        </w:rPr>
        <w:t>l’acétylcholinestérase, enzyme qui dégrade normalement l’Ach dans la fente synaptique.</w:t>
      </w:r>
    </w:p>
    <w:p w:rsidR="00C90A28" w:rsidRPr="00EB0A2C" w:rsidRDefault="00C90A28" w:rsidP="00EB0A2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43D0">
        <w:rPr>
          <w:rFonts w:ascii="Times New Roman" w:hAnsi="Times New Roman" w:cs="Times New Roman"/>
          <w:sz w:val="23"/>
          <w:szCs w:val="23"/>
        </w:rPr>
        <w:t>L’amplitude de la contraction musculaire est plus am</w:t>
      </w:r>
      <w:r>
        <w:rPr>
          <w:rFonts w:ascii="Times New Roman" w:hAnsi="Times New Roman" w:cs="Times New Roman"/>
          <w:sz w:val="23"/>
          <w:szCs w:val="23"/>
        </w:rPr>
        <w:t xml:space="preserve">ple en présence d’ésérine. Cett </w:t>
      </w:r>
      <w:r w:rsidRPr="000343D0">
        <w:rPr>
          <w:rFonts w:ascii="Times New Roman" w:hAnsi="Times New Roman" w:cs="Times New Roman"/>
          <w:sz w:val="23"/>
          <w:szCs w:val="23"/>
        </w:rPr>
        <w:t>substance inhibe l’enzyme acétylcholinestérase (doc</w:t>
      </w:r>
      <w:r>
        <w:rPr>
          <w:rFonts w:ascii="Times New Roman" w:hAnsi="Times New Roman" w:cs="Times New Roman"/>
          <w:sz w:val="23"/>
          <w:szCs w:val="23"/>
        </w:rPr>
        <w:t xml:space="preserve">ument 3) qui dégrade normalemen </w:t>
      </w:r>
      <w:r w:rsidRPr="000343D0">
        <w:rPr>
          <w:rFonts w:ascii="Times New Roman" w:hAnsi="Times New Roman" w:cs="Times New Roman"/>
          <w:sz w:val="23"/>
          <w:szCs w:val="23"/>
        </w:rPr>
        <w:t>l’Acétylcholine dans la fente synaptique. Pa</w:t>
      </w:r>
      <w:r>
        <w:rPr>
          <w:rFonts w:ascii="Times New Roman" w:hAnsi="Times New Roman" w:cs="Times New Roman"/>
          <w:sz w:val="23"/>
          <w:szCs w:val="23"/>
        </w:rPr>
        <w:t xml:space="preserve">r conséquent la concentration d </w:t>
      </w:r>
      <w:r w:rsidRPr="000343D0">
        <w:rPr>
          <w:rFonts w:ascii="Times New Roman" w:hAnsi="Times New Roman" w:cs="Times New Roman"/>
          <w:sz w:val="23"/>
          <w:szCs w:val="23"/>
        </w:rPr>
        <w:t xml:space="preserve">l’acétylcholine, neurotransmetteur responsable de la </w:t>
      </w:r>
      <w:r>
        <w:rPr>
          <w:rFonts w:ascii="Times New Roman" w:hAnsi="Times New Roman" w:cs="Times New Roman"/>
          <w:sz w:val="23"/>
          <w:szCs w:val="23"/>
        </w:rPr>
        <w:t xml:space="preserve">contraction musculaire augmente. </w:t>
      </w:r>
      <w:r w:rsidRPr="000343D0">
        <w:rPr>
          <w:rFonts w:ascii="Times New Roman" w:hAnsi="Times New Roman" w:cs="Times New Roman"/>
          <w:sz w:val="23"/>
          <w:szCs w:val="23"/>
        </w:rPr>
        <w:t>Cela entraine la fixation de l’Acétylcholine sur un nombre plus grand de récepteurs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343D0">
        <w:rPr>
          <w:rFonts w:ascii="Times New Roman" w:hAnsi="Times New Roman" w:cs="Times New Roman"/>
          <w:sz w:val="23"/>
          <w:szCs w:val="23"/>
        </w:rPr>
        <w:t>postsynaptiques.</w:t>
      </w:r>
      <w:r w:rsidR="00EB0A2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90A28" w:rsidRDefault="00C90A28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0A28" w:rsidRDefault="00C90A28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7005" w:rsidRDefault="00E57005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7005" w:rsidRDefault="00E57005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7005" w:rsidRDefault="00E57005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7005" w:rsidRDefault="00E57005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7005" w:rsidRDefault="00E57005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7005" w:rsidRDefault="00E57005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7005" w:rsidRDefault="00E57005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7005" w:rsidRDefault="00E57005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7005" w:rsidRDefault="00E57005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7005" w:rsidRDefault="00E57005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7005" w:rsidRDefault="00E57005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7005" w:rsidRPr="00E57005" w:rsidRDefault="00E57005" w:rsidP="00E5700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E57005" w:rsidRDefault="00E57005" w:rsidP="00E5700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7005" w:rsidRPr="00E57005" w:rsidRDefault="00E57005" w:rsidP="00E5700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5A7E33D" wp14:editId="64C55168">
            <wp:extent cx="4591050" cy="3171825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A28" w:rsidRDefault="00C90A28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0A28" w:rsidRDefault="00C90A28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0A28" w:rsidRDefault="00C90A28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0A28" w:rsidRDefault="00C90A28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0A28" w:rsidRDefault="00C90A28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0A28" w:rsidRDefault="00C90A28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0A28" w:rsidRDefault="00C90A28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0A28" w:rsidRDefault="00C90A28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0A28" w:rsidRPr="00594CE8" w:rsidRDefault="00C90A28" w:rsidP="00594CE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90A28" w:rsidRPr="00594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2306B"/>
    <w:multiLevelType w:val="hybridMultilevel"/>
    <w:tmpl w:val="1D500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1154C"/>
    <w:multiLevelType w:val="hybridMultilevel"/>
    <w:tmpl w:val="12E64FFE"/>
    <w:lvl w:ilvl="0" w:tplc="DC1A82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5FD438F"/>
    <w:multiLevelType w:val="hybridMultilevel"/>
    <w:tmpl w:val="6EDEA720"/>
    <w:lvl w:ilvl="0" w:tplc="BE84723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0B"/>
    <w:rsid w:val="000C6820"/>
    <w:rsid w:val="00186B2F"/>
    <w:rsid w:val="002146F0"/>
    <w:rsid w:val="002315E8"/>
    <w:rsid w:val="002A4C05"/>
    <w:rsid w:val="002B01B8"/>
    <w:rsid w:val="002D377C"/>
    <w:rsid w:val="00305A83"/>
    <w:rsid w:val="00316F0A"/>
    <w:rsid w:val="00594CE8"/>
    <w:rsid w:val="00636825"/>
    <w:rsid w:val="00873A91"/>
    <w:rsid w:val="009D741F"/>
    <w:rsid w:val="00A37017"/>
    <w:rsid w:val="00A46FE2"/>
    <w:rsid w:val="00A6390B"/>
    <w:rsid w:val="00C42599"/>
    <w:rsid w:val="00C90A28"/>
    <w:rsid w:val="00CD0F9F"/>
    <w:rsid w:val="00DF27CD"/>
    <w:rsid w:val="00E57005"/>
    <w:rsid w:val="00EB0A2C"/>
    <w:rsid w:val="00EC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4618A"/>
  <w15:chartTrackingRefBased/>
  <w15:docId w15:val="{9C8C89FE-AD59-4749-9C6F-93BFEAEF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A83"/>
    <w:pPr>
      <w:ind w:left="720"/>
      <w:contextualSpacing/>
    </w:pPr>
  </w:style>
  <w:style w:type="table" w:styleId="TableGrid">
    <w:name w:val="Table Grid"/>
    <w:basedOn w:val="TableNormal"/>
    <w:uiPriority w:val="59"/>
    <w:rsid w:val="00C90A2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10</cp:revision>
  <dcterms:created xsi:type="dcterms:W3CDTF">2020-12-18T10:23:00Z</dcterms:created>
  <dcterms:modified xsi:type="dcterms:W3CDTF">2020-12-18T10:39:00Z</dcterms:modified>
</cp:coreProperties>
</file>