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765" w:type="dxa"/>
        <w:tblLook w:val="04A0" w:firstRow="1" w:lastRow="0" w:firstColumn="1" w:lastColumn="0" w:noHBand="0" w:noVBand="1"/>
      </w:tblPr>
      <w:tblGrid>
        <w:gridCol w:w="1885"/>
        <w:gridCol w:w="4950"/>
        <w:gridCol w:w="1468"/>
        <w:gridCol w:w="5462"/>
      </w:tblGrid>
      <w:tr w:rsidR="00AE2B01" w14:paraId="6FC2E045" w14:textId="77777777" w:rsidTr="00137766">
        <w:tc>
          <w:tcPr>
            <w:tcW w:w="6835" w:type="dxa"/>
            <w:gridSpan w:val="2"/>
          </w:tcPr>
          <w:p w14:paraId="44CFF06D" w14:textId="77777777" w:rsidR="00AE2B01" w:rsidRDefault="00AE2B01" w:rsidP="0013776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Chapitres et notions</w:t>
            </w:r>
          </w:p>
        </w:tc>
        <w:tc>
          <w:tcPr>
            <w:tcW w:w="1468" w:type="dxa"/>
          </w:tcPr>
          <w:p w14:paraId="78475851" w14:textId="77777777" w:rsidR="00AE2B01" w:rsidRDefault="00AE2B01" w:rsidP="0013776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Pages / support</w:t>
            </w:r>
          </w:p>
        </w:tc>
        <w:tc>
          <w:tcPr>
            <w:tcW w:w="5462" w:type="dxa"/>
          </w:tcPr>
          <w:p w14:paraId="641409A5" w14:textId="77777777" w:rsidR="00AE2B01" w:rsidRDefault="00AE2B01" w:rsidP="0013776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Objectifs d’apprentissage</w:t>
            </w:r>
          </w:p>
        </w:tc>
      </w:tr>
      <w:tr w:rsidR="00293A5F" w14:paraId="74BDBFEF" w14:textId="77777777" w:rsidTr="00137766">
        <w:tc>
          <w:tcPr>
            <w:tcW w:w="1885" w:type="dxa"/>
            <w:vMerge w:val="restart"/>
          </w:tcPr>
          <w:p w14:paraId="72148BD6" w14:textId="77777777" w:rsidR="00293A5F" w:rsidRPr="00383318" w:rsidRDefault="00293A5F" w:rsidP="00AE2B01">
            <w:pPr>
              <w:rPr>
                <w:rFonts w:asciiTheme="majorBidi" w:hAnsiTheme="majorBidi" w:cstheme="majorBidi"/>
                <w:b/>
                <w:bCs/>
              </w:rPr>
            </w:pPr>
            <w:r w:rsidRPr="00383318">
              <w:rPr>
                <w:rFonts w:asciiTheme="majorBidi" w:hAnsiTheme="majorBidi" w:cstheme="majorBidi"/>
                <w:b/>
                <w:bCs/>
                <w:u w:val="single"/>
              </w:rPr>
              <w:t>Chapitre 3</w:t>
            </w:r>
            <w:r w:rsidRPr="00383318">
              <w:rPr>
                <w:rFonts w:asciiTheme="majorBidi" w:hAnsiTheme="majorBidi" w:cstheme="majorBidi"/>
                <w:b/>
                <w:bCs/>
              </w:rPr>
              <w:t> :</w:t>
            </w:r>
          </w:p>
          <w:p w14:paraId="19458722" w14:textId="77777777" w:rsidR="00293A5F" w:rsidRPr="00383318" w:rsidRDefault="00293A5F" w:rsidP="00AE2B01">
            <w:pPr>
              <w:rPr>
                <w:rFonts w:asciiTheme="majorBidi" w:hAnsiTheme="majorBidi" w:cstheme="majorBidi"/>
                <w:b/>
                <w:bCs/>
              </w:rPr>
            </w:pPr>
            <w:r w:rsidRPr="00383318">
              <w:rPr>
                <w:rFonts w:asciiTheme="majorBidi" w:hAnsiTheme="majorBidi" w:cstheme="majorBidi"/>
                <w:b/>
                <w:bCs/>
              </w:rPr>
              <w:t>Synthèse des protéines et activité enzymatique</w:t>
            </w:r>
          </w:p>
          <w:p w14:paraId="1504CB87" w14:textId="77777777" w:rsidR="00293A5F" w:rsidRDefault="00293A5F" w:rsidP="0013776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7400B6A8" w14:textId="6DAE51E0" w:rsidR="00293A5F" w:rsidRDefault="009F2A98" w:rsidP="0013776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</w:rPr>
              <w:t xml:space="preserve">Activité 1 : </w:t>
            </w:r>
            <w:r w:rsidR="00293A5F" w:rsidRPr="00383318">
              <w:rPr>
                <w:rFonts w:asciiTheme="majorBidi" w:hAnsiTheme="majorBidi" w:cstheme="majorBidi"/>
              </w:rPr>
              <w:t>Les protéines, un assemblage d’acides aminés</w:t>
            </w:r>
          </w:p>
        </w:tc>
        <w:tc>
          <w:tcPr>
            <w:tcW w:w="1468" w:type="dxa"/>
          </w:tcPr>
          <w:p w14:paraId="5A6C4936" w14:textId="12A40EBD" w:rsidR="00293A5F" w:rsidRPr="000236E2" w:rsidRDefault="00A9556A" w:rsidP="0013776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Pages 50-51pages 52-53</w:t>
            </w:r>
          </w:p>
        </w:tc>
        <w:tc>
          <w:tcPr>
            <w:tcW w:w="5462" w:type="dxa"/>
            <w:vMerge w:val="restart"/>
          </w:tcPr>
          <w:p w14:paraId="68095FA1" w14:textId="042DADD4" w:rsidR="00293A5F" w:rsidRPr="00383318" w:rsidRDefault="00921AD8" w:rsidP="00786CF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▪</w:t>
            </w:r>
            <w:r w:rsidR="00293A5F" w:rsidRPr="00383318">
              <w:rPr>
                <w:rFonts w:asciiTheme="majorBidi" w:hAnsiTheme="majorBidi" w:cstheme="majorBidi"/>
              </w:rPr>
              <w:t xml:space="preserve"> Mettre en évidence l’importance des protéines structurales et des protéines enzymatiques dans la vie d’une cellule.</w:t>
            </w:r>
          </w:p>
          <w:p w14:paraId="4AA68605" w14:textId="37F4DA90" w:rsidR="00293A5F" w:rsidRPr="00383318" w:rsidRDefault="00921AD8" w:rsidP="00786CF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▪</w:t>
            </w:r>
            <w:r w:rsidR="00293A5F" w:rsidRPr="00383318">
              <w:rPr>
                <w:rFonts w:asciiTheme="majorBidi" w:hAnsiTheme="majorBidi" w:cstheme="majorBidi"/>
              </w:rPr>
              <w:t xml:space="preserve"> Relier la structure spatiale et les propriétés d’une protéine à la séquence de ses acides aminés. </w:t>
            </w:r>
          </w:p>
          <w:p w14:paraId="7170422F" w14:textId="6E759A30" w:rsidR="00293A5F" w:rsidRPr="00383318" w:rsidRDefault="00921AD8" w:rsidP="00786CF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▪</w:t>
            </w:r>
            <w:r w:rsidR="00293A5F" w:rsidRPr="00383318">
              <w:rPr>
                <w:rFonts w:asciiTheme="majorBidi" w:hAnsiTheme="majorBidi" w:cstheme="majorBidi"/>
              </w:rPr>
              <w:t xml:space="preserve"> Préciser que la spécificité d’un gène est tributaire de la séquence des nucléotides.</w:t>
            </w:r>
          </w:p>
          <w:p w14:paraId="074171F7" w14:textId="63BABD0B" w:rsidR="00293A5F" w:rsidRPr="00561871" w:rsidRDefault="00921AD8" w:rsidP="00786CF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</w:rPr>
              <w:t>▪</w:t>
            </w:r>
            <w:r w:rsidR="00293A5F" w:rsidRPr="00383318">
              <w:rPr>
                <w:rFonts w:asciiTheme="majorBidi" w:hAnsiTheme="majorBidi" w:cstheme="majorBidi"/>
              </w:rPr>
              <w:t xml:space="preserve"> Noter que le gène est une unité de structure et d’information qui dirige la synthèse d’une chaîne polypeptidique déterminée.</w:t>
            </w:r>
          </w:p>
        </w:tc>
      </w:tr>
      <w:tr w:rsidR="00C25004" w14:paraId="02AEF09C" w14:textId="77777777" w:rsidTr="00371EE7">
        <w:trPr>
          <w:trHeight w:val="759"/>
        </w:trPr>
        <w:tc>
          <w:tcPr>
            <w:tcW w:w="1885" w:type="dxa"/>
            <w:vMerge/>
          </w:tcPr>
          <w:p w14:paraId="2E791E4C" w14:textId="77777777" w:rsidR="00C25004" w:rsidRDefault="00C25004" w:rsidP="0013776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2AB14066" w14:textId="77777777" w:rsidR="00C25004" w:rsidRDefault="00C25004" w:rsidP="0013776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</w:rPr>
              <w:t xml:space="preserve">Activité </w:t>
            </w:r>
            <w:r>
              <w:rPr>
                <w:rFonts w:asciiTheme="majorBidi" w:hAnsiTheme="majorBidi" w:cstheme="majorBidi"/>
              </w:rPr>
              <w:t>2</w:t>
            </w:r>
            <w:r>
              <w:rPr>
                <w:rFonts w:asciiTheme="majorBidi" w:hAnsiTheme="majorBidi" w:cstheme="majorBidi"/>
              </w:rPr>
              <w:t xml:space="preserve"> : </w:t>
            </w:r>
            <w:r w:rsidRPr="005977C6">
              <w:rPr>
                <w:rFonts w:asciiTheme="majorBidi" w:hAnsiTheme="majorBidi" w:cstheme="majorBidi"/>
              </w:rPr>
              <w:t>Le gène, unité de structure et d’information</w:t>
            </w:r>
          </w:p>
          <w:p w14:paraId="778C27CB" w14:textId="6D005EB2" w:rsidR="00C25004" w:rsidRDefault="00C25004" w:rsidP="008C7B3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977C6">
              <w:rPr>
                <w:rFonts w:asciiTheme="majorBidi" w:hAnsiTheme="majorBidi" w:cstheme="majorBidi"/>
              </w:rPr>
              <w:t>Des gènes aux protéines.</w:t>
            </w:r>
          </w:p>
        </w:tc>
        <w:tc>
          <w:tcPr>
            <w:tcW w:w="1468" w:type="dxa"/>
          </w:tcPr>
          <w:p w14:paraId="56DF7CF2" w14:textId="7785188B" w:rsidR="00C25004" w:rsidRDefault="00C25004" w:rsidP="0013776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62" w:type="dxa"/>
            <w:vMerge/>
          </w:tcPr>
          <w:p w14:paraId="56C946D3" w14:textId="77777777" w:rsidR="00C25004" w:rsidRPr="00561871" w:rsidRDefault="00C25004" w:rsidP="0013776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E2B01" w14:paraId="0EB7C0BB" w14:textId="77777777" w:rsidTr="00137766">
        <w:tc>
          <w:tcPr>
            <w:tcW w:w="1885" w:type="dxa"/>
            <w:vMerge/>
          </w:tcPr>
          <w:p w14:paraId="4B78B0DD" w14:textId="77777777" w:rsidR="00AE2B01" w:rsidRDefault="00AE2B01" w:rsidP="0013776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7025DDB5" w14:textId="407ED988" w:rsidR="00AE2B01" w:rsidRPr="00254A8B" w:rsidRDefault="000F31E6" w:rsidP="00254A8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Activité </w:t>
            </w:r>
            <w:r>
              <w:rPr>
                <w:rFonts w:asciiTheme="majorBidi" w:hAnsiTheme="majorBidi" w:cstheme="majorBidi"/>
              </w:rPr>
              <w:t>3</w:t>
            </w:r>
            <w:r>
              <w:rPr>
                <w:rFonts w:asciiTheme="majorBidi" w:hAnsiTheme="majorBidi" w:cstheme="majorBidi"/>
              </w:rPr>
              <w:t xml:space="preserve"> : </w:t>
            </w:r>
            <w:r w:rsidR="00254A8B" w:rsidRPr="005977C6">
              <w:rPr>
                <w:rFonts w:asciiTheme="majorBidi" w:hAnsiTheme="majorBidi" w:cstheme="majorBidi"/>
              </w:rPr>
              <w:t>La transcription : première étape de la synthèse protéique.</w:t>
            </w:r>
          </w:p>
        </w:tc>
        <w:tc>
          <w:tcPr>
            <w:tcW w:w="1468" w:type="dxa"/>
          </w:tcPr>
          <w:p w14:paraId="77B75745" w14:textId="2CA14FC9" w:rsidR="00AE2B01" w:rsidRPr="0069653E" w:rsidRDefault="00DF2D92" w:rsidP="001377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Pages 54-55</w:t>
            </w:r>
          </w:p>
        </w:tc>
        <w:tc>
          <w:tcPr>
            <w:tcW w:w="5462" w:type="dxa"/>
            <w:vMerge w:val="restart"/>
          </w:tcPr>
          <w:p w14:paraId="3E7F3817" w14:textId="012ACB46" w:rsidR="00AE2B01" w:rsidRPr="00D84589" w:rsidRDefault="00D84589" w:rsidP="0013776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▪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293A5F" w:rsidRPr="00D84589">
              <w:rPr>
                <w:rFonts w:asciiTheme="majorBidi" w:hAnsiTheme="majorBidi" w:cstheme="majorBidi"/>
              </w:rPr>
              <w:t>Etablir des liens sous forme de schéma fonctionnel entre des informations tirées de plusieurs sources portant sur une même notion + expliciter ces liens (étapes de la synthèse des protéines).</w:t>
            </w:r>
          </w:p>
          <w:p w14:paraId="58A00A4B" w14:textId="5B48880C" w:rsidR="00612988" w:rsidRPr="00561871" w:rsidRDefault="00D84589" w:rsidP="001377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84589">
              <w:rPr>
                <w:rFonts w:asciiTheme="majorBidi" w:hAnsiTheme="majorBidi" w:cstheme="majorBidi"/>
              </w:rPr>
              <w:t>▪</w:t>
            </w:r>
            <w:r w:rsidRPr="00D84589">
              <w:rPr>
                <w:rFonts w:asciiTheme="majorBidi" w:hAnsiTheme="majorBidi" w:cstheme="majorBidi"/>
              </w:rPr>
              <w:t xml:space="preserve"> </w:t>
            </w:r>
            <w:r w:rsidR="00612988" w:rsidRPr="00D84589">
              <w:rPr>
                <w:rFonts w:ascii="Times New Roman" w:hAnsi="Times New Roman" w:cs="Times New Roman"/>
                <w:sz w:val="24"/>
                <w:szCs w:val="24"/>
              </w:rPr>
              <w:t>Savoir utiliser le code génétique pour</w:t>
            </w:r>
            <w:r w:rsidR="00612988" w:rsidRPr="000F63C1">
              <w:rPr>
                <w:rFonts w:ascii="Times New Roman" w:hAnsi="Times New Roman" w:cs="Times New Roman"/>
                <w:sz w:val="24"/>
                <w:szCs w:val="24"/>
              </w:rPr>
              <w:t xml:space="preserve"> établir à partir d’un fragment de gène la séquence protéique adéquate</w:t>
            </w:r>
          </w:p>
        </w:tc>
      </w:tr>
      <w:tr w:rsidR="00AE2B01" w14:paraId="2516DE92" w14:textId="77777777" w:rsidTr="00137766">
        <w:tc>
          <w:tcPr>
            <w:tcW w:w="1885" w:type="dxa"/>
            <w:vMerge/>
          </w:tcPr>
          <w:p w14:paraId="3A698579" w14:textId="77777777" w:rsidR="00AE2B01" w:rsidRDefault="00AE2B01" w:rsidP="0013776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7D324DFE" w14:textId="465C428A" w:rsidR="00AE2B01" w:rsidRDefault="00052080" w:rsidP="0013776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</w:rPr>
              <w:t xml:space="preserve">Activité </w:t>
            </w:r>
            <w:r>
              <w:rPr>
                <w:rFonts w:asciiTheme="majorBidi" w:hAnsiTheme="majorBidi" w:cstheme="majorBidi"/>
              </w:rPr>
              <w:t>4</w:t>
            </w:r>
            <w:r>
              <w:rPr>
                <w:rFonts w:asciiTheme="majorBidi" w:hAnsiTheme="majorBidi" w:cstheme="majorBidi"/>
              </w:rPr>
              <w:t xml:space="preserve"> : </w:t>
            </w:r>
            <w:r w:rsidR="00254A8B" w:rsidRPr="005977C6">
              <w:rPr>
                <w:rFonts w:asciiTheme="majorBidi" w:hAnsiTheme="majorBidi" w:cstheme="majorBidi"/>
              </w:rPr>
              <w:t>La traduction : deuxième étape de la synthèse protéique.</w:t>
            </w:r>
          </w:p>
        </w:tc>
        <w:tc>
          <w:tcPr>
            <w:tcW w:w="1468" w:type="dxa"/>
          </w:tcPr>
          <w:p w14:paraId="0DE6FDB7" w14:textId="6DCD3D1D" w:rsidR="00AE2B01" w:rsidRDefault="00DF2D92" w:rsidP="0013776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Pages 56-57</w:t>
            </w:r>
          </w:p>
        </w:tc>
        <w:tc>
          <w:tcPr>
            <w:tcW w:w="5462" w:type="dxa"/>
            <w:vMerge/>
          </w:tcPr>
          <w:p w14:paraId="71A01372" w14:textId="77777777" w:rsidR="00AE2B01" w:rsidRPr="00561871" w:rsidRDefault="00AE2B01" w:rsidP="0013776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E2B01" w14:paraId="6A4C3C07" w14:textId="77777777" w:rsidTr="00137766">
        <w:tc>
          <w:tcPr>
            <w:tcW w:w="1885" w:type="dxa"/>
            <w:vMerge/>
          </w:tcPr>
          <w:p w14:paraId="79655F14" w14:textId="77777777" w:rsidR="00AE2B01" w:rsidRDefault="00AE2B01" w:rsidP="0013776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40FD6C84" w14:textId="23DBD6CC" w:rsidR="00AE2B01" w:rsidRDefault="00512FF3" w:rsidP="0059399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</w:rPr>
              <w:t xml:space="preserve">Activité </w:t>
            </w:r>
            <w:r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 xml:space="preserve"> : </w:t>
            </w:r>
            <w:r w:rsidR="00691461" w:rsidRPr="00B2581A">
              <w:rPr>
                <w:rFonts w:asciiTheme="majorBidi" w:hAnsiTheme="majorBidi" w:cstheme="majorBidi"/>
                <w:sz w:val="24"/>
                <w:szCs w:val="24"/>
              </w:rPr>
              <w:t>Devenir des protéines synthétisées</w:t>
            </w:r>
          </w:p>
        </w:tc>
        <w:tc>
          <w:tcPr>
            <w:tcW w:w="1468" w:type="dxa"/>
          </w:tcPr>
          <w:p w14:paraId="5538CD4F" w14:textId="4E740CBF" w:rsidR="00AE2B01" w:rsidRPr="0069653E" w:rsidRDefault="00305736" w:rsidP="001377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Pages 58-59</w:t>
            </w:r>
          </w:p>
        </w:tc>
        <w:tc>
          <w:tcPr>
            <w:tcW w:w="5462" w:type="dxa"/>
          </w:tcPr>
          <w:p w14:paraId="682B9050" w14:textId="1634887C" w:rsidR="00AE2B01" w:rsidRPr="00B302B0" w:rsidRDefault="00C45875" w:rsidP="00B302B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0F31">
              <w:rPr>
                <w:rFonts w:ascii="Times New Roman" w:hAnsi="Times New Roman" w:cs="Times New Roman"/>
              </w:rPr>
              <w:t xml:space="preserve">Expliquer le </w:t>
            </w:r>
            <w:r w:rsidR="00E0082E" w:rsidRPr="00920F31">
              <w:rPr>
                <w:rFonts w:ascii="Times New Roman" w:hAnsi="Times New Roman" w:cs="Times New Roman"/>
              </w:rPr>
              <w:t>rôle</w:t>
            </w:r>
            <w:r w:rsidRPr="00920F31">
              <w:rPr>
                <w:rFonts w:ascii="Times New Roman" w:hAnsi="Times New Roman" w:cs="Times New Roman"/>
              </w:rPr>
              <w:t xml:space="preserve"> de l’appareil de Golgi</w:t>
            </w:r>
            <w:r w:rsidR="00920F31" w:rsidRPr="00920F31">
              <w:rPr>
                <w:rFonts w:ascii="Times New Roman" w:hAnsi="Times New Roman" w:cs="Times New Roman"/>
              </w:rPr>
              <w:t xml:space="preserve"> dans la </w:t>
            </w:r>
            <w:r w:rsidR="00920F31">
              <w:rPr>
                <w:rFonts w:ascii="Times New Roman" w:hAnsi="Times New Roman" w:cs="Times New Roman"/>
              </w:rPr>
              <w:t>m</w:t>
            </w:r>
            <w:r w:rsidR="00920F31" w:rsidRPr="00920F31">
              <w:rPr>
                <w:rFonts w:asciiTheme="majorBidi" w:hAnsiTheme="majorBidi" w:cstheme="majorBidi"/>
                <w:sz w:val="24"/>
                <w:szCs w:val="24"/>
              </w:rPr>
              <w:t>aturation des protéines</w:t>
            </w:r>
          </w:p>
        </w:tc>
      </w:tr>
      <w:tr w:rsidR="00870D90" w14:paraId="4BC0103B" w14:textId="77777777" w:rsidTr="00137766">
        <w:tc>
          <w:tcPr>
            <w:tcW w:w="1885" w:type="dxa"/>
            <w:vMerge w:val="restart"/>
          </w:tcPr>
          <w:p w14:paraId="7A22F277" w14:textId="77777777" w:rsidR="00870D90" w:rsidRPr="00B2581A" w:rsidRDefault="00870D90" w:rsidP="00D0033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2581A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Chapitre 4</w:t>
            </w:r>
            <w:r w:rsidRPr="00B2581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:</w:t>
            </w:r>
          </w:p>
          <w:p w14:paraId="0741486A" w14:textId="5DA9239A" w:rsidR="00870D90" w:rsidRPr="00B4044B" w:rsidRDefault="00870D90" w:rsidP="00B404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2581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Identité biologique et génotype.</w:t>
            </w:r>
          </w:p>
        </w:tc>
        <w:tc>
          <w:tcPr>
            <w:tcW w:w="4950" w:type="dxa"/>
          </w:tcPr>
          <w:p w14:paraId="6E83CF4A" w14:textId="24BCEB51" w:rsidR="00870D90" w:rsidRDefault="00A55907" w:rsidP="005F3AB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</w:rPr>
              <w:t xml:space="preserve">Activité 1 : </w:t>
            </w:r>
            <w:r w:rsidR="00870D90" w:rsidRPr="005F3ABC">
              <w:rPr>
                <w:rFonts w:asciiTheme="majorBidi" w:hAnsiTheme="majorBidi" w:cstheme="majorBidi"/>
                <w:sz w:val="24"/>
                <w:szCs w:val="24"/>
              </w:rPr>
              <w:t>Phénotype et protéines</w:t>
            </w:r>
            <w:r w:rsidR="005F3ABC" w:rsidRPr="005F3ABC">
              <w:rPr>
                <w:rFonts w:asciiTheme="majorBidi" w:hAnsiTheme="majorBidi" w:cstheme="majorBidi"/>
                <w:sz w:val="24"/>
                <w:szCs w:val="24"/>
              </w:rPr>
              <w:t xml:space="preserve"> - </w:t>
            </w:r>
            <w:r w:rsidR="005F3ABC" w:rsidRPr="005F3ABC">
              <w:rPr>
                <w:rFonts w:asciiTheme="majorBidi" w:hAnsiTheme="majorBidi" w:cstheme="majorBidi"/>
                <w:sz w:val="24"/>
                <w:szCs w:val="24"/>
              </w:rPr>
              <w:t>Echelles du phénotype</w:t>
            </w:r>
          </w:p>
        </w:tc>
        <w:tc>
          <w:tcPr>
            <w:tcW w:w="1468" w:type="dxa"/>
          </w:tcPr>
          <w:p w14:paraId="51B44058" w14:textId="5AFE076D" w:rsidR="00870D90" w:rsidRDefault="003F0215" w:rsidP="0013776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Pages 76-77</w:t>
            </w:r>
          </w:p>
        </w:tc>
        <w:tc>
          <w:tcPr>
            <w:tcW w:w="5462" w:type="dxa"/>
            <w:vMerge w:val="restart"/>
          </w:tcPr>
          <w:p w14:paraId="76A4009D" w14:textId="3867A105" w:rsidR="00870D90" w:rsidRPr="00B2581A" w:rsidRDefault="00870D90" w:rsidP="00870D9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84589">
              <w:rPr>
                <w:rFonts w:asciiTheme="majorBidi" w:hAnsiTheme="majorBidi" w:cstheme="majorBidi"/>
              </w:rPr>
              <w:t>▪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B2581A">
              <w:rPr>
                <w:rFonts w:asciiTheme="majorBidi" w:hAnsiTheme="majorBidi" w:cstheme="majorBidi"/>
                <w:sz w:val="24"/>
                <w:szCs w:val="24"/>
              </w:rPr>
              <w:t>Etablir le lien entre le phénotype d’un individu et l’expression de ses gènes (protéines structurales et fonctionnelles).</w:t>
            </w:r>
          </w:p>
          <w:p w14:paraId="0CB88C56" w14:textId="066E8F6E" w:rsidR="00870D90" w:rsidRPr="00B2581A" w:rsidRDefault="00870D90" w:rsidP="00870D9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84589">
              <w:rPr>
                <w:rFonts w:asciiTheme="majorBidi" w:hAnsiTheme="majorBidi" w:cstheme="majorBidi"/>
              </w:rPr>
              <w:t>▪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B2581A">
              <w:rPr>
                <w:rFonts w:asciiTheme="majorBidi" w:hAnsiTheme="majorBidi" w:cstheme="majorBidi"/>
                <w:sz w:val="24"/>
                <w:szCs w:val="24"/>
              </w:rPr>
              <w:t>Déterminer les conséquences des différentes modifications subies par le gène (mutations).</w:t>
            </w:r>
          </w:p>
          <w:p w14:paraId="1EEC781D" w14:textId="3A782213" w:rsidR="00870D90" w:rsidRPr="00B2581A" w:rsidRDefault="00870D90" w:rsidP="00870D9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84589">
              <w:rPr>
                <w:rFonts w:asciiTheme="majorBidi" w:hAnsiTheme="majorBidi" w:cstheme="majorBidi"/>
              </w:rPr>
              <w:t>▪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B2581A">
              <w:rPr>
                <w:rFonts w:asciiTheme="majorBidi" w:hAnsiTheme="majorBidi" w:cstheme="majorBidi"/>
                <w:sz w:val="24"/>
                <w:szCs w:val="24"/>
              </w:rPr>
              <w:t>Définir l’empreinte génétique et étudier ses applications.</w:t>
            </w:r>
          </w:p>
          <w:p w14:paraId="0B15508E" w14:textId="59E02A17" w:rsidR="00870D90" w:rsidRPr="00E674F6" w:rsidRDefault="00EF7842" w:rsidP="00137766">
            <w:pPr>
              <w:rPr>
                <w:rFonts w:ascii="Times New Roman" w:hAnsi="Times New Roman" w:cs="Times New Roman"/>
              </w:rPr>
            </w:pPr>
            <w:r w:rsidRPr="00D84589">
              <w:rPr>
                <w:rFonts w:asciiTheme="majorBidi" w:hAnsiTheme="majorBidi" w:cstheme="majorBidi"/>
              </w:rPr>
              <w:t>▪</w:t>
            </w:r>
            <w:r>
              <w:rPr>
                <w:rFonts w:asciiTheme="majorBidi" w:hAnsiTheme="majorBidi" w:cstheme="majorBidi"/>
              </w:rPr>
              <w:t xml:space="preserve"> Maitriser les </w:t>
            </w:r>
            <w:r w:rsidR="00CE35DD">
              <w:rPr>
                <w:rFonts w:asciiTheme="majorBidi" w:hAnsiTheme="majorBidi" w:cstheme="majorBidi"/>
              </w:rPr>
              <w:t>étapes</w:t>
            </w:r>
            <w:r>
              <w:rPr>
                <w:rFonts w:asciiTheme="majorBidi" w:hAnsiTheme="majorBidi" w:cstheme="majorBidi"/>
              </w:rPr>
              <w:t xml:space="preserve"> de la </w:t>
            </w:r>
            <w:r w:rsidR="00CE35DD">
              <w:rPr>
                <w:rFonts w:asciiTheme="majorBidi" w:hAnsiTheme="majorBidi" w:cstheme="majorBidi"/>
              </w:rPr>
              <w:t>démarche</w:t>
            </w:r>
            <w:r>
              <w:rPr>
                <w:rFonts w:asciiTheme="majorBidi" w:hAnsiTheme="majorBidi" w:cstheme="majorBidi"/>
              </w:rPr>
              <w:t xml:space="preserve"> scientifique</w:t>
            </w:r>
          </w:p>
        </w:tc>
      </w:tr>
      <w:tr w:rsidR="00870D90" w14:paraId="4678E78A" w14:textId="77777777" w:rsidTr="00137766">
        <w:tc>
          <w:tcPr>
            <w:tcW w:w="1885" w:type="dxa"/>
            <w:vMerge/>
          </w:tcPr>
          <w:p w14:paraId="223B8D90" w14:textId="77777777" w:rsidR="00870D90" w:rsidRDefault="00870D90" w:rsidP="0013776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61B296E4" w14:textId="12CB140B" w:rsidR="00870D90" w:rsidRDefault="00A55907" w:rsidP="00D0033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</w:rPr>
              <w:t xml:space="preserve">Activité </w:t>
            </w:r>
            <w:r>
              <w:rPr>
                <w:rFonts w:asciiTheme="majorBidi" w:hAnsiTheme="majorBidi" w:cstheme="majorBidi"/>
              </w:rPr>
              <w:t>2</w:t>
            </w:r>
            <w:r>
              <w:rPr>
                <w:rFonts w:asciiTheme="majorBidi" w:hAnsiTheme="majorBidi" w:cstheme="majorBidi"/>
              </w:rPr>
              <w:t xml:space="preserve"> : </w:t>
            </w:r>
            <w:r w:rsidR="00870D90" w:rsidRPr="00B2581A">
              <w:rPr>
                <w:rFonts w:asciiTheme="majorBidi" w:hAnsiTheme="majorBidi" w:cstheme="majorBidi"/>
                <w:sz w:val="24"/>
                <w:szCs w:val="24"/>
              </w:rPr>
              <w:t>Gènes-allèles</w:t>
            </w:r>
            <w:r w:rsidR="005F3ABC">
              <w:rPr>
                <w:rFonts w:asciiTheme="majorBidi" w:hAnsiTheme="majorBidi" w:cstheme="majorBidi"/>
                <w:sz w:val="24"/>
                <w:szCs w:val="24"/>
              </w:rPr>
              <w:t xml:space="preserve"> - </w:t>
            </w:r>
            <w:r w:rsidR="005F3ABC" w:rsidRPr="00DF3951">
              <w:rPr>
                <w:rFonts w:asciiTheme="majorBidi" w:hAnsiTheme="majorBidi" w:cstheme="majorBidi"/>
                <w:sz w:val="24"/>
                <w:szCs w:val="24"/>
              </w:rPr>
              <w:t>Mutations géniques</w:t>
            </w:r>
          </w:p>
        </w:tc>
        <w:tc>
          <w:tcPr>
            <w:tcW w:w="1468" w:type="dxa"/>
          </w:tcPr>
          <w:p w14:paraId="1B5390E8" w14:textId="4CA47C98" w:rsidR="00870D90" w:rsidRDefault="00C3680C" w:rsidP="0013776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Pages 78-79</w:t>
            </w:r>
          </w:p>
        </w:tc>
        <w:tc>
          <w:tcPr>
            <w:tcW w:w="5462" w:type="dxa"/>
            <w:vMerge/>
          </w:tcPr>
          <w:p w14:paraId="1EB5FB5D" w14:textId="2293E078" w:rsidR="00870D90" w:rsidRPr="00E674F6" w:rsidRDefault="00870D90" w:rsidP="00137766">
            <w:pPr>
              <w:rPr>
                <w:rFonts w:ascii="Times New Roman" w:hAnsi="Times New Roman" w:cs="Times New Roman"/>
              </w:rPr>
            </w:pPr>
          </w:p>
        </w:tc>
      </w:tr>
      <w:tr w:rsidR="00870D90" w14:paraId="139C0A77" w14:textId="77777777" w:rsidTr="00137766">
        <w:tc>
          <w:tcPr>
            <w:tcW w:w="1885" w:type="dxa"/>
            <w:vMerge/>
          </w:tcPr>
          <w:p w14:paraId="27578149" w14:textId="77777777" w:rsidR="00870D90" w:rsidRDefault="00870D90" w:rsidP="0013776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458E2975" w14:textId="11D953BA" w:rsidR="005F3ABC" w:rsidRPr="005F3ABC" w:rsidRDefault="00B03B17" w:rsidP="005F3AB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</w:rPr>
              <w:t xml:space="preserve">Activité </w:t>
            </w:r>
            <w:r>
              <w:rPr>
                <w:rFonts w:asciiTheme="majorBidi" w:hAnsiTheme="majorBidi" w:cstheme="majorBidi"/>
              </w:rPr>
              <w:t>3</w:t>
            </w:r>
            <w:r>
              <w:rPr>
                <w:rFonts w:asciiTheme="majorBidi" w:hAnsiTheme="majorBidi" w:cstheme="majorBidi"/>
              </w:rPr>
              <w:t xml:space="preserve"> : </w:t>
            </w:r>
            <w:r w:rsidR="00870D90" w:rsidRPr="005F3ABC">
              <w:rPr>
                <w:rFonts w:asciiTheme="majorBidi" w:hAnsiTheme="majorBidi" w:cstheme="majorBidi"/>
                <w:sz w:val="24"/>
                <w:szCs w:val="24"/>
              </w:rPr>
              <w:t>Le génotype</w:t>
            </w:r>
            <w:r w:rsidR="005F3ABC" w:rsidRPr="005F3ABC">
              <w:rPr>
                <w:rFonts w:asciiTheme="majorBidi" w:hAnsiTheme="majorBidi" w:cstheme="majorBidi"/>
                <w:sz w:val="24"/>
                <w:szCs w:val="24"/>
              </w:rPr>
              <w:t xml:space="preserve"> - </w:t>
            </w:r>
            <w:r w:rsidR="005F3ABC" w:rsidRPr="005F3ABC">
              <w:rPr>
                <w:rFonts w:asciiTheme="majorBidi" w:hAnsiTheme="majorBidi" w:cstheme="majorBidi"/>
                <w:sz w:val="24"/>
                <w:szCs w:val="24"/>
              </w:rPr>
              <w:t>Empreintes génétiques</w:t>
            </w:r>
          </w:p>
          <w:p w14:paraId="6307936D" w14:textId="79D95247" w:rsidR="00870D90" w:rsidRDefault="00870D90" w:rsidP="0013776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8" w:type="dxa"/>
          </w:tcPr>
          <w:p w14:paraId="34AFA87F" w14:textId="7EE1B993" w:rsidR="00870D90" w:rsidRDefault="004328D4" w:rsidP="0013776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Pages 80-81</w:t>
            </w:r>
          </w:p>
        </w:tc>
        <w:tc>
          <w:tcPr>
            <w:tcW w:w="5462" w:type="dxa"/>
            <w:vMerge/>
          </w:tcPr>
          <w:p w14:paraId="51DFD931" w14:textId="6B179961" w:rsidR="00870D90" w:rsidRDefault="00870D90" w:rsidP="0013776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2A98" w14:paraId="2A2D9948" w14:textId="77777777" w:rsidTr="00137766">
        <w:tc>
          <w:tcPr>
            <w:tcW w:w="1885" w:type="dxa"/>
          </w:tcPr>
          <w:p w14:paraId="233837C3" w14:textId="77777777" w:rsidR="009F2A98" w:rsidRPr="00D947F2" w:rsidRDefault="009F2A98" w:rsidP="009F2A9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947F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Reproduction sexuée chez les humains :</w:t>
            </w:r>
          </w:p>
          <w:p w14:paraId="5CEF47E6" w14:textId="77777777" w:rsidR="009F2A98" w:rsidRDefault="009F2A98" w:rsidP="0013776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652B892E" w14:textId="77777777" w:rsidR="00D947F2" w:rsidRDefault="00D947F2" w:rsidP="00D947F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3747">
              <w:rPr>
                <w:rFonts w:asciiTheme="majorBidi" w:hAnsiTheme="majorBidi" w:cstheme="majorBidi"/>
                <w:sz w:val="24"/>
                <w:szCs w:val="24"/>
              </w:rPr>
              <w:t>Anatomie des appareils génitaux de l’homme et de la femme</w:t>
            </w:r>
          </w:p>
          <w:p w14:paraId="523A9A41" w14:textId="77777777" w:rsidR="00D947F2" w:rsidRPr="00D947F2" w:rsidRDefault="00D947F2" w:rsidP="00D947F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947F2">
              <w:rPr>
                <w:rFonts w:asciiTheme="majorBidi" w:hAnsiTheme="majorBidi" w:cstheme="majorBidi"/>
                <w:sz w:val="24"/>
                <w:szCs w:val="24"/>
              </w:rPr>
              <w:t>Méiose et production des gamètes</w:t>
            </w:r>
          </w:p>
          <w:p w14:paraId="62A61F3D" w14:textId="53A31E67" w:rsidR="009F2A98" w:rsidRPr="005F3ABC" w:rsidRDefault="00D947F2" w:rsidP="00D947F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947F2">
              <w:rPr>
                <w:rFonts w:asciiTheme="majorBidi" w:hAnsiTheme="majorBidi" w:cstheme="majorBidi"/>
                <w:sz w:val="24"/>
                <w:szCs w:val="24"/>
              </w:rPr>
              <w:t>Cycle sexuel de la femme et régulation hormonale</w:t>
            </w:r>
          </w:p>
        </w:tc>
        <w:tc>
          <w:tcPr>
            <w:tcW w:w="1468" w:type="dxa"/>
          </w:tcPr>
          <w:p w14:paraId="1A095B74" w14:textId="75D2CDDF" w:rsidR="009F2A98" w:rsidRDefault="00D947F2" w:rsidP="0013776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PPT</w:t>
            </w:r>
          </w:p>
        </w:tc>
        <w:tc>
          <w:tcPr>
            <w:tcW w:w="5462" w:type="dxa"/>
          </w:tcPr>
          <w:p w14:paraId="58EAA773" w14:textId="7132195E" w:rsidR="00392ADF" w:rsidRPr="00B2581A" w:rsidRDefault="00392ADF" w:rsidP="00392AD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84589">
              <w:rPr>
                <w:rFonts w:asciiTheme="majorBidi" w:hAnsiTheme="majorBidi" w:cstheme="majorBidi"/>
              </w:rPr>
              <w:t>▪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B2581A">
              <w:rPr>
                <w:rFonts w:asciiTheme="majorBidi" w:hAnsiTheme="majorBidi" w:cstheme="majorBidi"/>
                <w:sz w:val="24"/>
                <w:szCs w:val="24"/>
              </w:rPr>
              <w:t xml:space="preserve">Préciser les événements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répétitifs </w:t>
            </w:r>
            <w:r w:rsidRPr="00B2581A">
              <w:rPr>
                <w:rFonts w:asciiTheme="majorBidi" w:hAnsiTheme="majorBidi" w:cstheme="majorBidi"/>
                <w:sz w:val="24"/>
                <w:szCs w:val="24"/>
              </w:rPr>
              <w:t xml:space="preserve">qui caractérisent le cycle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sexuel de la femme. (Cycle </w:t>
            </w:r>
            <w:r w:rsidRPr="00B2581A">
              <w:rPr>
                <w:rFonts w:asciiTheme="majorBidi" w:hAnsiTheme="majorBidi" w:cstheme="majorBidi"/>
                <w:sz w:val="24"/>
                <w:szCs w:val="24"/>
              </w:rPr>
              <w:t>ovarien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cycle utérin, courbe thermique, glaire cervicale…).</w:t>
            </w:r>
          </w:p>
          <w:p w14:paraId="49B3F535" w14:textId="575C242E" w:rsidR="00392ADF" w:rsidRPr="00B5649C" w:rsidRDefault="00392ADF" w:rsidP="00392ADF">
            <w:pPr>
              <w:rPr>
                <w:rFonts w:asciiTheme="majorBidi" w:hAnsiTheme="majorBidi" w:cstheme="majorBidi"/>
              </w:rPr>
            </w:pPr>
            <w:r w:rsidRPr="00D84589">
              <w:rPr>
                <w:rFonts w:asciiTheme="majorBidi" w:hAnsiTheme="majorBidi" w:cstheme="majorBidi"/>
              </w:rPr>
              <w:t>▪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B5649C">
              <w:rPr>
                <w:rFonts w:asciiTheme="majorBidi" w:hAnsiTheme="majorBidi" w:cstheme="majorBidi"/>
              </w:rPr>
              <w:t>Analyser des données d’un graphe pour déduire l’évolution du taux des hormones ovariennes et hypophysaires au cours du cycle sexuel</w:t>
            </w:r>
          </w:p>
          <w:p w14:paraId="74062104" w14:textId="6507713A" w:rsidR="009F2A98" w:rsidRPr="003350BF" w:rsidRDefault="00392ADF" w:rsidP="003350BF">
            <w:pPr>
              <w:rPr>
                <w:rFonts w:asciiTheme="majorBidi" w:hAnsiTheme="majorBidi" w:cstheme="majorBidi"/>
                <w:b/>
                <w:bCs/>
              </w:rPr>
            </w:pPr>
            <w:r w:rsidRPr="00D84589">
              <w:rPr>
                <w:rFonts w:asciiTheme="majorBidi" w:hAnsiTheme="majorBidi" w:cstheme="majorBidi"/>
              </w:rPr>
              <w:t>▪</w:t>
            </w:r>
            <w:r>
              <w:rPr>
                <w:rFonts w:asciiTheme="majorBidi" w:hAnsiTheme="majorBidi" w:cstheme="majorBidi"/>
              </w:rPr>
              <w:t xml:space="preserve"> Expliquer les </w:t>
            </w:r>
            <w:r w:rsidR="000C1481">
              <w:rPr>
                <w:rFonts w:asciiTheme="majorBidi" w:hAnsiTheme="majorBidi" w:cstheme="majorBidi"/>
              </w:rPr>
              <w:t>étapes</w:t>
            </w:r>
            <w:r>
              <w:rPr>
                <w:rFonts w:asciiTheme="majorBidi" w:hAnsiTheme="majorBidi" w:cstheme="majorBidi"/>
              </w:rPr>
              <w:t xml:space="preserve"> de la </w:t>
            </w:r>
            <w:r w:rsidR="000C1481">
              <w:rPr>
                <w:rFonts w:asciiTheme="majorBidi" w:hAnsiTheme="majorBidi" w:cstheme="majorBidi"/>
              </w:rPr>
              <w:t>méiose – division a l</w:t>
            </w:r>
            <w:r w:rsidR="00F1147D">
              <w:rPr>
                <w:rFonts w:asciiTheme="majorBidi" w:hAnsiTheme="majorBidi" w:cstheme="majorBidi"/>
              </w:rPr>
              <w:t>’</w:t>
            </w:r>
            <w:r w:rsidR="000C1481">
              <w:rPr>
                <w:rFonts w:asciiTheme="majorBidi" w:hAnsiTheme="majorBidi" w:cstheme="majorBidi"/>
              </w:rPr>
              <w:t xml:space="preserve">origine des </w:t>
            </w:r>
            <w:r w:rsidR="00B5649C">
              <w:rPr>
                <w:rFonts w:asciiTheme="majorBidi" w:hAnsiTheme="majorBidi" w:cstheme="majorBidi"/>
              </w:rPr>
              <w:t>gamètes</w:t>
            </w:r>
            <w:r>
              <w:rPr>
                <w:rFonts w:asciiTheme="majorBidi" w:hAnsiTheme="majorBidi" w:cstheme="majorBidi"/>
              </w:rPr>
              <w:t xml:space="preserve"> </w:t>
            </w:r>
          </w:p>
        </w:tc>
      </w:tr>
    </w:tbl>
    <w:p w14:paraId="22D0371E" w14:textId="77777777" w:rsidR="00630EFB" w:rsidRPr="00630EFB" w:rsidRDefault="00630EFB" w:rsidP="00630EF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sectPr w:rsidR="00630EFB" w:rsidRPr="00630EFB" w:rsidSect="007975A1">
      <w:pgSz w:w="15840" w:h="12240" w:orient="landscape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7070D"/>
    <w:multiLevelType w:val="hybridMultilevel"/>
    <w:tmpl w:val="50F08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25698"/>
    <w:multiLevelType w:val="hybridMultilevel"/>
    <w:tmpl w:val="A252A3DA"/>
    <w:lvl w:ilvl="0" w:tplc="1040B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86C24"/>
    <w:multiLevelType w:val="hybridMultilevel"/>
    <w:tmpl w:val="D8C0EC52"/>
    <w:lvl w:ilvl="0" w:tplc="1040B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13258">
    <w:abstractNumId w:val="1"/>
  </w:num>
  <w:num w:numId="2" w16cid:durableId="573979642">
    <w:abstractNumId w:val="0"/>
  </w:num>
  <w:num w:numId="3" w16cid:durableId="48263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5A"/>
    <w:rsid w:val="0001085A"/>
    <w:rsid w:val="00052080"/>
    <w:rsid w:val="000A1A03"/>
    <w:rsid w:val="000C1481"/>
    <w:rsid w:val="000C6DF6"/>
    <w:rsid w:val="000F31E6"/>
    <w:rsid w:val="001C664D"/>
    <w:rsid w:val="00245890"/>
    <w:rsid w:val="00254A8B"/>
    <w:rsid w:val="00263747"/>
    <w:rsid w:val="002861FC"/>
    <w:rsid w:val="00293A5F"/>
    <w:rsid w:val="00305419"/>
    <w:rsid w:val="00305736"/>
    <w:rsid w:val="003250C1"/>
    <w:rsid w:val="003350BF"/>
    <w:rsid w:val="00392ADF"/>
    <w:rsid w:val="003C25CD"/>
    <w:rsid w:val="003F0215"/>
    <w:rsid w:val="004328D4"/>
    <w:rsid w:val="004745E9"/>
    <w:rsid w:val="0048715F"/>
    <w:rsid w:val="004910BF"/>
    <w:rsid w:val="004B24F9"/>
    <w:rsid w:val="00512FF3"/>
    <w:rsid w:val="0051779D"/>
    <w:rsid w:val="00553F7E"/>
    <w:rsid w:val="0056407E"/>
    <w:rsid w:val="00590016"/>
    <w:rsid w:val="00591051"/>
    <w:rsid w:val="00593994"/>
    <w:rsid w:val="00594C3F"/>
    <w:rsid w:val="005A2799"/>
    <w:rsid w:val="005F3ABC"/>
    <w:rsid w:val="00612988"/>
    <w:rsid w:val="00622954"/>
    <w:rsid w:val="00630EFB"/>
    <w:rsid w:val="006311EC"/>
    <w:rsid w:val="00691461"/>
    <w:rsid w:val="00704A72"/>
    <w:rsid w:val="00720F48"/>
    <w:rsid w:val="007824ED"/>
    <w:rsid w:val="00786CF5"/>
    <w:rsid w:val="007975A1"/>
    <w:rsid w:val="007E75C7"/>
    <w:rsid w:val="007F681D"/>
    <w:rsid w:val="00804DF3"/>
    <w:rsid w:val="00814477"/>
    <w:rsid w:val="00870D90"/>
    <w:rsid w:val="00872A54"/>
    <w:rsid w:val="0088102A"/>
    <w:rsid w:val="008C7B3F"/>
    <w:rsid w:val="008D0BBA"/>
    <w:rsid w:val="00920F31"/>
    <w:rsid w:val="00921AD8"/>
    <w:rsid w:val="00954312"/>
    <w:rsid w:val="009C2AB0"/>
    <w:rsid w:val="009D57CF"/>
    <w:rsid w:val="009F2A98"/>
    <w:rsid w:val="009F4C8D"/>
    <w:rsid w:val="00A26DB1"/>
    <w:rsid w:val="00A3697B"/>
    <w:rsid w:val="00A52850"/>
    <w:rsid w:val="00A55907"/>
    <w:rsid w:val="00A600BD"/>
    <w:rsid w:val="00A82A5E"/>
    <w:rsid w:val="00A9556A"/>
    <w:rsid w:val="00A97CA1"/>
    <w:rsid w:val="00AE2B01"/>
    <w:rsid w:val="00B03B17"/>
    <w:rsid w:val="00B302B0"/>
    <w:rsid w:val="00B36055"/>
    <w:rsid w:val="00B4044B"/>
    <w:rsid w:val="00B5649C"/>
    <w:rsid w:val="00B73D10"/>
    <w:rsid w:val="00BB3771"/>
    <w:rsid w:val="00BF5929"/>
    <w:rsid w:val="00BF6259"/>
    <w:rsid w:val="00C25004"/>
    <w:rsid w:val="00C3680C"/>
    <w:rsid w:val="00C45875"/>
    <w:rsid w:val="00C52087"/>
    <w:rsid w:val="00C831C0"/>
    <w:rsid w:val="00CE35DD"/>
    <w:rsid w:val="00D00336"/>
    <w:rsid w:val="00D31C7E"/>
    <w:rsid w:val="00D34B46"/>
    <w:rsid w:val="00D84589"/>
    <w:rsid w:val="00D8580A"/>
    <w:rsid w:val="00D877AF"/>
    <w:rsid w:val="00D947F2"/>
    <w:rsid w:val="00DD687A"/>
    <w:rsid w:val="00DF2D92"/>
    <w:rsid w:val="00DF3951"/>
    <w:rsid w:val="00DF60B0"/>
    <w:rsid w:val="00E0082E"/>
    <w:rsid w:val="00E505A1"/>
    <w:rsid w:val="00E6290A"/>
    <w:rsid w:val="00E75050"/>
    <w:rsid w:val="00EA02AC"/>
    <w:rsid w:val="00EF7842"/>
    <w:rsid w:val="00F1147D"/>
    <w:rsid w:val="00F73FA5"/>
    <w:rsid w:val="00FB2932"/>
    <w:rsid w:val="00FB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82043"/>
  <w15:chartTrackingRefBased/>
  <w15:docId w15:val="{1D48D5EB-32D8-4015-89A1-4D6FD865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08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0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8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08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08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08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08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08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08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085A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08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85A"/>
    <w:rPr>
      <w:rFonts w:eastAsiaTheme="majorEastAsia" w:cstheme="majorBidi"/>
      <w:color w:val="2F5496" w:themeColor="accent1" w:themeShade="BF"/>
      <w:sz w:val="28"/>
      <w:szCs w:val="28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085A"/>
    <w:rPr>
      <w:rFonts w:eastAsiaTheme="majorEastAsia" w:cstheme="majorBidi"/>
      <w:i/>
      <w:iCs/>
      <w:color w:val="2F5496" w:themeColor="accent1" w:themeShade="BF"/>
      <w:lang w:val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085A"/>
    <w:rPr>
      <w:rFonts w:eastAsiaTheme="majorEastAsia" w:cstheme="majorBidi"/>
      <w:color w:val="2F5496" w:themeColor="accent1" w:themeShade="BF"/>
      <w:lang w:val="fr-F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085A"/>
    <w:rPr>
      <w:rFonts w:eastAsiaTheme="majorEastAsia" w:cstheme="majorBidi"/>
      <w:i/>
      <w:iCs/>
      <w:color w:val="595959" w:themeColor="text1" w:themeTint="A6"/>
      <w:lang w:val="fr-F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085A"/>
    <w:rPr>
      <w:rFonts w:eastAsiaTheme="majorEastAsia" w:cstheme="majorBidi"/>
      <w:color w:val="595959" w:themeColor="text1" w:themeTint="A6"/>
      <w:lang w:val="fr-F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085A"/>
    <w:rPr>
      <w:rFonts w:eastAsiaTheme="majorEastAsia" w:cstheme="majorBidi"/>
      <w:i/>
      <w:iCs/>
      <w:color w:val="272727" w:themeColor="text1" w:themeTint="D8"/>
      <w:lang w:val="fr-F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085A"/>
    <w:rPr>
      <w:rFonts w:eastAsiaTheme="majorEastAsia" w:cstheme="majorBidi"/>
      <w:color w:val="272727" w:themeColor="text1" w:themeTint="D8"/>
      <w:lang w:val="fr-FR"/>
    </w:rPr>
  </w:style>
  <w:style w:type="paragraph" w:styleId="Title">
    <w:name w:val="Title"/>
    <w:basedOn w:val="Normal"/>
    <w:next w:val="Normal"/>
    <w:link w:val="TitleChar"/>
    <w:uiPriority w:val="10"/>
    <w:qFormat/>
    <w:rsid w:val="000108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085A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08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085A"/>
    <w:rPr>
      <w:rFonts w:eastAsiaTheme="majorEastAsia" w:cstheme="majorBidi"/>
      <w:color w:val="595959" w:themeColor="text1" w:themeTint="A6"/>
      <w:spacing w:val="15"/>
      <w:sz w:val="28"/>
      <w:szCs w:val="28"/>
      <w:lang w:val="fr-FR"/>
    </w:rPr>
  </w:style>
  <w:style w:type="paragraph" w:styleId="Quote">
    <w:name w:val="Quote"/>
    <w:basedOn w:val="Normal"/>
    <w:next w:val="Normal"/>
    <w:link w:val="QuoteChar"/>
    <w:uiPriority w:val="29"/>
    <w:qFormat/>
    <w:rsid w:val="00010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085A"/>
    <w:rPr>
      <w:i/>
      <w:iCs/>
      <w:color w:val="404040" w:themeColor="text1" w:themeTint="BF"/>
      <w:lang w:val="fr-FR"/>
    </w:rPr>
  </w:style>
  <w:style w:type="paragraph" w:styleId="ListParagraph">
    <w:name w:val="List Paragraph"/>
    <w:basedOn w:val="Normal"/>
    <w:uiPriority w:val="34"/>
    <w:qFormat/>
    <w:rsid w:val="000108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085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08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085A"/>
    <w:rPr>
      <w:i/>
      <w:iCs/>
      <w:color w:val="2F5496" w:themeColor="accent1" w:themeShade="BF"/>
      <w:lang w:val="fr-FR"/>
    </w:rPr>
  </w:style>
  <w:style w:type="character" w:styleId="IntenseReference">
    <w:name w:val="Intense Reference"/>
    <w:basedOn w:val="DefaultParagraphFont"/>
    <w:uiPriority w:val="32"/>
    <w:qFormat/>
    <w:rsid w:val="0001085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E2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98</cp:revision>
  <dcterms:created xsi:type="dcterms:W3CDTF">2025-01-23T08:02:00Z</dcterms:created>
  <dcterms:modified xsi:type="dcterms:W3CDTF">2025-05-12T16:23:00Z</dcterms:modified>
</cp:coreProperties>
</file>