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765" w:type="dxa"/>
        <w:tblLook w:val="04A0" w:firstRow="1" w:lastRow="0" w:firstColumn="1" w:lastColumn="0" w:noHBand="0" w:noVBand="1"/>
      </w:tblPr>
      <w:tblGrid>
        <w:gridCol w:w="1885"/>
        <w:gridCol w:w="4950"/>
        <w:gridCol w:w="1468"/>
        <w:gridCol w:w="5462"/>
      </w:tblGrid>
      <w:tr w:rsidR="00F55FE0" w:rsidRPr="006B7F0E" w14:paraId="3BC160BD" w14:textId="77777777" w:rsidTr="00144FDF">
        <w:tc>
          <w:tcPr>
            <w:tcW w:w="6835" w:type="dxa"/>
            <w:gridSpan w:val="2"/>
          </w:tcPr>
          <w:p w14:paraId="15EE288C" w14:textId="77777777" w:rsidR="00F55FE0" w:rsidRPr="006B7F0E" w:rsidRDefault="00F55FE0" w:rsidP="00144FD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B7F0E">
              <w:rPr>
                <w:rFonts w:asciiTheme="majorBidi" w:hAnsiTheme="majorBidi" w:cstheme="majorBidi"/>
                <w:sz w:val="24"/>
                <w:szCs w:val="24"/>
              </w:rPr>
              <w:t>Chapitres et notions</w:t>
            </w:r>
          </w:p>
        </w:tc>
        <w:tc>
          <w:tcPr>
            <w:tcW w:w="1468" w:type="dxa"/>
          </w:tcPr>
          <w:p w14:paraId="6C963E6D" w14:textId="77777777" w:rsidR="00F55FE0" w:rsidRPr="006B7F0E" w:rsidRDefault="00F55FE0" w:rsidP="00144FD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B7F0E">
              <w:rPr>
                <w:rFonts w:asciiTheme="majorBidi" w:hAnsiTheme="majorBidi" w:cstheme="majorBidi"/>
                <w:sz w:val="24"/>
                <w:szCs w:val="24"/>
              </w:rPr>
              <w:t>Pages / support</w:t>
            </w:r>
          </w:p>
        </w:tc>
        <w:tc>
          <w:tcPr>
            <w:tcW w:w="5462" w:type="dxa"/>
          </w:tcPr>
          <w:p w14:paraId="5AE5C4F2" w14:textId="77777777" w:rsidR="00F55FE0" w:rsidRPr="006B7F0E" w:rsidRDefault="00F55FE0" w:rsidP="00144FD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B7F0E">
              <w:rPr>
                <w:rFonts w:asciiTheme="majorBidi" w:hAnsiTheme="majorBidi" w:cstheme="majorBidi"/>
                <w:sz w:val="24"/>
                <w:szCs w:val="24"/>
              </w:rPr>
              <w:t>Objectifs d’apprentissage</w:t>
            </w:r>
          </w:p>
        </w:tc>
      </w:tr>
      <w:tr w:rsidR="00F55FE0" w:rsidRPr="006B7F0E" w14:paraId="56C589DC" w14:textId="77777777" w:rsidTr="00144FDF">
        <w:tc>
          <w:tcPr>
            <w:tcW w:w="1885" w:type="dxa"/>
            <w:vMerge w:val="restart"/>
          </w:tcPr>
          <w:p w14:paraId="39B1CA5F" w14:textId="77777777" w:rsidR="00F55FE0" w:rsidRPr="006B7F0E" w:rsidRDefault="00F55FE0" w:rsidP="00F55FE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7F0E">
              <w:rPr>
                <w:rFonts w:asciiTheme="majorBidi" w:hAnsiTheme="majorBidi" w:cstheme="majorBidi"/>
                <w:sz w:val="24"/>
                <w:szCs w:val="24"/>
              </w:rPr>
              <w:t>Chapitre 1 : La physiologie sexuelle humaine</w:t>
            </w:r>
          </w:p>
          <w:p w14:paraId="0A8444ED" w14:textId="77777777" w:rsidR="00F55FE0" w:rsidRPr="006B7F0E" w:rsidRDefault="00F55FE0" w:rsidP="00144FD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0F54F611" w14:textId="097EC99F" w:rsidR="00F55FE0" w:rsidRPr="006B7F0E" w:rsidRDefault="00F55FE0" w:rsidP="00F04B3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7F0E">
              <w:rPr>
                <w:rFonts w:asciiTheme="majorBidi" w:hAnsiTheme="majorBidi" w:cstheme="majorBidi"/>
                <w:sz w:val="24"/>
                <w:szCs w:val="24"/>
              </w:rPr>
              <w:t>Activité 1 : Anatomie des appareils génitaux de l’homme et de la femme</w:t>
            </w:r>
          </w:p>
        </w:tc>
        <w:tc>
          <w:tcPr>
            <w:tcW w:w="1468" w:type="dxa"/>
          </w:tcPr>
          <w:p w14:paraId="4970A5F8" w14:textId="302AA918" w:rsidR="00F55FE0" w:rsidRPr="006B7F0E" w:rsidRDefault="00111642" w:rsidP="00144F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7F0E">
              <w:rPr>
                <w:rFonts w:asciiTheme="majorBidi" w:hAnsiTheme="majorBidi" w:cstheme="majorBidi"/>
                <w:sz w:val="24"/>
                <w:szCs w:val="24"/>
              </w:rPr>
              <w:t>Pages 12-13</w:t>
            </w:r>
          </w:p>
        </w:tc>
        <w:tc>
          <w:tcPr>
            <w:tcW w:w="5462" w:type="dxa"/>
            <w:vMerge w:val="restart"/>
          </w:tcPr>
          <w:p w14:paraId="7D1FA645" w14:textId="1F4C8D5F" w:rsidR="008E4511" w:rsidRPr="006B7F0E" w:rsidRDefault="0093663E" w:rsidP="008E451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7F0E">
              <w:rPr>
                <w:rFonts w:asciiTheme="majorBidi" w:hAnsiTheme="majorBidi" w:cstheme="majorBidi"/>
                <w:sz w:val="24"/>
                <w:szCs w:val="24"/>
              </w:rPr>
              <w:t xml:space="preserve">▪ </w:t>
            </w:r>
            <w:r w:rsidR="008E4511" w:rsidRPr="006B7F0E">
              <w:rPr>
                <w:rFonts w:asciiTheme="majorBidi" w:hAnsiTheme="majorBidi" w:cstheme="majorBidi"/>
                <w:sz w:val="24"/>
                <w:szCs w:val="24"/>
              </w:rPr>
              <w:t>Faire la connaissance des organes reproducteurs mâles et femelles et de leurs rôles respectifs.</w:t>
            </w:r>
          </w:p>
          <w:p w14:paraId="423AA45F" w14:textId="51950CE4" w:rsidR="008E4511" w:rsidRPr="006B7F0E" w:rsidRDefault="0093663E" w:rsidP="008E451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7F0E">
              <w:rPr>
                <w:rFonts w:asciiTheme="majorBidi" w:hAnsiTheme="majorBidi" w:cstheme="majorBidi"/>
                <w:sz w:val="24"/>
                <w:szCs w:val="24"/>
              </w:rPr>
              <w:t xml:space="preserve">▪ </w:t>
            </w:r>
            <w:r w:rsidR="008E4511" w:rsidRPr="006B7F0E">
              <w:rPr>
                <w:rFonts w:asciiTheme="majorBidi" w:hAnsiTheme="majorBidi" w:cstheme="majorBidi"/>
                <w:sz w:val="24"/>
                <w:szCs w:val="24"/>
              </w:rPr>
              <w:t>Comparer la production et les différentes caractéristiques des gamètes mâles et femelles</w:t>
            </w:r>
          </w:p>
          <w:p w14:paraId="019BF2FD" w14:textId="0358FEEA" w:rsidR="00F55FE0" w:rsidRPr="006B7F0E" w:rsidRDefault="0093663E" w:rsidP="00144F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7F0E">
              <w:rPr>
                <w:rFonts w:asciiTheme="majorBidi" w:hAnsiTheme="majorBidi" w:cstheme="majorBidi"/>
                <w:sz w:val="24"/>
                <w:szCs w:val="24"/>
              </w:rPr>
              <w:t xml:space="preserve">▪ </w:t>
            </w:r>
            <w:r w:rsidR="004D49F0" w:rsidRPr="006B7F0E">
              <w:rPr>
                <w:rFonts w:asciiTheme="majorBidi" w:hAnsiTheme="majorBidi" w:cstheme="majorBidi"/>
                <w:sz w:val="24"/>
                <w:szCs w:val="24"/>
              </w:rPr>
              <w:t xml:space="preserve">Exploiter une représentation scientifique pour tirer des informations </w:t>
            </w:r>
            <w:r w:rsidR="00A95B57" w:rsidRPr="006B7F0E">
              <w:rPr>
                <w:rFonts w:asciiTheme="majorBidi" w:hAnsiTheme="majorBidi" w:cstheme="majorBidi"/>
                <w:sz w:val="24"/>
                <w:szCs w:val="24"/>
              </w:rPr>
              <w:t xml:space="preserve">ciblées </w:t>
            </w:r>
            <w:r w:rsidR="004D49F0" w:rsidRPr="006B7F0E">
              <w:rPr>
                <w:rFonts w:asciiTheme="majorBidi" w:hAnsiTheme="majorBidi" w:cstheme="majorBidi"/>
                <w:sz w:val="24"/>
                <w:szCs w:val="24"/>
              </w:rPr>
              <w:t>(durée du cycle sexuel de la femme, durée des règles, leur périodicité…)</w:t>
            </w:r>
          </w:p>
        </w:tc>
      </w:tr>
      <w:tr w:rsidR="00F55FE0" w:rsidRPr="006B7F0E" w14:paraId="2604D85C" w14:textId="77777777" w:rsidTr="00144FDF">
        <w:tc>
          <w:tcPr>
            <w:tcW w:w="1885" w:type="dxa"/>
            <w:vMerge/>
          </w:tcPr>
          <w:p w14:paraId="73468E5E" w14:textId="77777777" w:rsidR="00F55FE0" w:rsidRPr="006B7F0E" w:rsidRDefault="00F55FE0" w:rsidP="00144FD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74D0A275" w14:textId="18109F69" w:rsidR="00F55FE0" w:rsidRPr="006B7F0E" w:rsidRDefault="00F55FE0" w:rsidP="0062783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7F0E">
              <w:rPr>
                <w:rFonts w:asciiTheme="majorBidi" w:hAnsiTheme="majorBidi" w:cstheme="majorBidi"/>
                <w:sz w:val="24"/>
                <w:szCs w:val="24"/>
              </w:rPr>
              <w:t>Activité</w:t>
            </w:r>
            <w:r w:rsidR="00C96DAB" w:rsidRPr="006B7F0E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6B7F0E">
              <w:rPr>
                <w:rFonts w:asciiTheme="majorBidi" w:hAnsiTheme="majorBidi" w:cstheme="majorBidi"/>
                <w:sz w:val="24"/>
                <w:szCs w:val="24"/>
              </w:rPr>
              <w:t xml:space="preserve"> 2</w:t>
            </w:r>
            <w:r w:rsidR="00C96DAB" w:rsidRPr="006B7F0E">
              <w:rPr>
                <w:rFonts w:asciiTheme="majorBidi" w:hAnsiTheme="majorBidi" w:cstheme="majorBidi"/>
                <w:sz w:val="24"/>
                <w:szCs w:val="24"/>
              </w:rPr>
              <w:t xml:space="preserve"> et </w:t>
            </w:r>
            <w:proofErr w:type="gramStart"/>
            <w:r w:rsidR="00C96DAB" w:rsidRPr="006B7F0E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6B7F0E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proofErr w:type="gramEnd"/>
            <w:r w:rsidRPr="006B7F0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25B5D" w:rsidRPr="006B7F0E">
              <w:rPr>
                <w:rFonts w:asciiTheme="majorBidi" w:hAnsiTheme="majorBidi" w:cstheme="majorBidi"/>
                <w:sz w:val="24"/>
                <w:szCs w:val="24"/>
              </w:rPr>
              <w:t>Cycle sexuel de la femme (cycles ovarien et utérin)</w:t>
            </w:r>
          </w:p>
        </w:tc>
        <w:tc>
          <w:tcPr>
            <w:tcW w:w="1468" w:type="dxa"/>
          </w:tcPr>
          <w:p w14:paraId="02F55B84" w14:textId="24325C03" w:rsidR="00F55FE0" w:rsidRPr="006B7F0E" w:rsidRDefault="00357705" w:rsidP="00144F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7F0E">
              <w:rPr>
                <w:rFonts w:asciiTheme="majorBidi" w:hAnsiTheme="majorBidi" w:cstheme="majorBidi"/>
                <w:sz w:val="24"/>
                <w:szCs w:val="24"/>
              </w:rPr>
              <w:t>Pages 14-15</w:t>
            </w:r>
          </w:p>
        </w:tc>
        <w:tc>
          <w:tcPr>
            <w:tcW w:w="5462" w:type="dxa"/>
            <w:vMerge/>
          </w:tcPr>
          <w:p w14:paraId="19C497EB" w14:textId="77777777" w:rsidR="00F55FE0" w:rsidRPr="006B7F0E" w:rsidRDefault="00F55FE0" w:rsidP="00144FD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55FE0" w:rsidRPr="006B7F0E" w14:paraId="71230EE3" w14:textId="77777777" w:rsidTr="00144FDF">
        <w:tc>
          <w:tcPr>
            <w:tcW w:w="1885" w:type="dxa"/>
            <w:vMerge/>
          </w:tcPr>
          <w:p w14:paraId="22ECFE91" w14:textId="77777777" w:rsidR="00F55FE0" w:rsidRPr="006B7F0E" w:rsidRDefault="00F55FE0" w:rsidP="00144FD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78EEBC8A" w14:textId="7C3800FA" w:rsidR="00F55FE0" w:rsidRPr="006B7F0E" w:rsidRDefault="009C0668" w:rsidP="000124B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7F0E">
              <w:rPr>
                <w:rFonts w:asciiTheme="majorBidi" w:hAnsiTheme="majorBidi" w:cstheme="majorBidi"/>
                <w:sz w:val="24"/>
                <w:szCs w:val="24"/>
              </w:rPr>
              <w:t>Communication entre ovaires et utérus</w:t>
            </w:r>
          </w:p>
        </w:tc>
        <w:tc>
          <w:tcPr>
            <w:tcW w:w="1468" w:type="dxa"/>
          </w:tcPr>
          <w:p w14:paraId="79C3FF5A" w14:textId="672AF922" w:rsidR="00F55FE0" w:rsidRPr="006B7F0E" w:rsidRDefault="00AF48D5" w:rsidP="00144F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7F0E">
              <w:rPr>
                <w:rFonts w:asciiTheme="majorBidi" w:hAnsiTheme="majorBidi" w:cstheme="majorBidi"/>
                <w:sz w:val="24"/>
                <w:szCs w:val="24"/>
              </w:rPr>
              <w:t>PPT</w:t>
            </w:r>
          </w:p>
        </w:tc>
        <w:tc>
          <w:tcPr>
            <w:tcW w:w="5462" w:type="dxa"/>
          </w:tcPr>
          <w:p w14:paraId="6F281E66" w14:textId="06DDEDE3" w:rsidR="00F55FE0" w:rsidRPr="006B7F0E" w:rsidRDefault="00BE4429" w:rsidP="00144F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7F0E">
              <w:rPr>
                <w:rFonts w:asciiTheme="majorBidi" w:hAnsiTheme="majorBidi" w:cstheme="majorBidi"/>
                <w:sz w:val="24"/>
                <w:szCs w:val="24"/>
              </w:rPr>
              <w:t>Interpréter</w:t>
            </w:r>
            <w:r w:rsidR="00A95B57" w:rsidRPr="006B7F0E">
              <w:rPr>
                <w:rFonts w:asciiTheme="majorBidi" w:hAnsiTheme="majorBidi" w:cstheme="majorBidi"/>
                <w:sz w:val="24"/>
                <w:szCs w:val="24"/>
              </w:rPr>
              <w:t xml:space="preserve"> des </w:t>
            </w:r>
            <w:r w:rsidRPr="006B7F0E">
              <w:rPr>
                <w:rFonts w:asciiTheme="majorBidi" w:hAnsiTheme="majorBidi" w:cstheme="majorBidi"/>
                <w:sz w:val="24"/>
                <w:szCs w:val="24"/>
              </w:rPr>
              <w:t>résultats</w:t>
            </w:r>
            <w:r w:rsidR="00A95B57" w:rsidRPr="006B7F0E">
              <w:rPr>
                <w:rFonts w:asciiTheme="majorBidi" w:hAnsiTheme="majorBidi" w:cstheme="majorBidi"/>
                <w:sz w:val="24"/>
                <w:szCs w:val="24"/>
              </w:rPr>
              <w:t xml:space="preserve"> d’</w:t>
            </w:r>
            <w:r w:rsidRPr="006B7F0E">
              <w:rPr>
                <w:rFonts w:asciiTheme="majorBidi" w:hAnsiTheme="majorBidi" w:cstheme="majorBidi"/>
                <w:sz w:val="24"/>
                <w:szCs w:val="24"/>
              </w:rPr>
              <w:t>expériences</w:t>
            </w:r>
          </w:p>
        </w:tc>
      </w:tr>
      <w:tr w:rsidR="005F774A" w:rsidRPr="006B7F0E" w14:paraId="37B609FE" w14:textId="77777777" w:rsidTr="00515F4C">
        <w:trPr>
          <w:trHeight w:val="332"/>
        </w:trPr>
        <w:tc>
          <w:tcPr>
            <w:tcW w:w="1885" w:type="dxa"/>
            <w:vMerge/>
            <w:tcBorders>
              <w:bottom w:val="single" w:sz="4" w:space="0" w:color="auto"/>
            </w:tcBorders>
          </w:tcPr>
          <w:p w14:paraId="68FF0097" w14:textId="77777777" w:rsidR="005F774A" w:rsidRPr="006B7F0E" w:rsidRDefault="005F774A" w:rsidP="00144FD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14:paraId="19C690E0" w14:textId="6EE37811" w:rsidR="005F774A" w:rsidRPr="006B7F0E" w:rsidRDefault="005F774A" w:rsidP="00515F4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7F0E">
              <w:rPr>
                <w:rFonts w:asciiTheme="majorBidi" w:hAnsiTheme="majorBidi" w:cstheme="majorBidi"/>
                <w:sz w:val="24"/>
                <w:szCs w:val="24"/>
              </w:rPr>
              <w:t>Activité 4 : Cycle des secrétions hormonale</w:t>
            </w:r>
            <w:r w:rsidR="0043408C" w:rsidRPr="006B7F0E">
              <w:rPr>
                <w:rFonts w:asciiTheme="majorBidi" w:hAnsiTheme="majorBidi" w:cstheme="majorBidi"/>
                <w:sz w:val="24"/>
                <w:szCs w:val="24"/>
              </w:rPr>
              <w:t>s</w:t>
            </w: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14:paraId="71B0AA0E" w14:textId="34115CEB" w:rsidR="005F774A" w:rsidRPr="006B7F0E" w:rsidRDefault="00AF48D5" w:rsidP="00144F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7F0E">
              <w:rPr>
                <w:rFonts w:asciiTheme="majorBidi" w:hAnsiTheme="majorBidi" w:cstheme="majorBidi"/>
                <w:sz w:val="24"/>
                <w:szCs w:val="24"/>
              </w:rPr>
              <w:t>Pages 16-17</w:t>
            </w:r>
          </w:p>
        </w:tc>
        <w:tc>
          <w:tcPr>
            <w:tcW w:w="5462" w:type="dxa"/>
          </w:tcPr>
          <w:p w14:paraId="7B3339CE" w14:textId="6AB7748B" w:rsidR="005F774A" w:rsidRPr="006B7F0E" w:rsidRDefault="0093663E" w:rsidP="00144F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7F0E">
              <w:rPr>
                <w:rFonts w:asciiTheme="majorBidi" w:hAnsiTheme="majorBidi" w:cstheme="majorBidi"/>
                <w:sz w:val="24"/>
                <w:szCs w:val="24"/>
              </w:rPr>
              <w:t xml:space="preserve">▪ </w:t>
            </w:r>
            <w:r w:rsidR="00BE4429" w:rsidRPr="006B7F0E">
              <w:rPr>
                <w:rFonts w:asciiTheme="majorBidi" w:hAnsiTheme="majorBidi" w:cstheme="majorBidi"/>
                <w:sz w:val="24"/>
                <w:szCs w:val="24"/>
              </w:rPr>
              <w:t>Analyser des données d’un graphe pour déduire l’évolution du taux des hormones ovariennes et hypophysaires au cours du cycle sexuel.</w:t>
            </w:r>
          </w:p>
          <w:p w14:paraId="773D7E75" w14:textId="3E2B2FA7" w:rsidR="00BE4429" w:rsidRPr="006B7F0E" w:rsidRDefault="0093663E" w:rsidP="00BE442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7F0E">
              <w:rPr>
                <w:rFonts w:asciiTheme="majorBidi" w:hAnsiTheme="majorBidi" w:cstheme="majorBidi"/>
                <w:sz w:val="24"/>
                <w:szCs w:val="24"/>
              </w:rPr>
              <w:t xml:space="preserve">▪ </w:t>
            </w:r>
            <w:r w:rsidR="00BE4429" w:rsidRPr="006B7F0E">
              <w:rPr>
                <w:rFonts w:asciiTheme="majorBidi" w:hAnsiTheme="majorBidi" w:cstheme="majorBidi"/>
                <w:sz w:val="24"/>
                <w:szCs w:val="24"/>
              </w:rPr>
              <w:t xml:space="preserve">Etablir les liens corrects entre l’évolution des taux d’hormones ovariennes et les modifications de la muqueuse utérine (rôle des hormones ovariennes) </w:t>
            </w:r>
          </w:p>
          <w:p w14:paraId="0FF7FD1D" w14:textId="5B897F34" w:rsidR="00BE4429" w:rsidRPr="006B7F0E" w:rsidRDefault="0093663E" w:rsidP="00BE442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7F0E">
              <w:rPr>
                <w:rFonts w:asciiTheme="majorBidi" w:hAnsiTheme="majorBidi" w:cstheme="majorBidi"/>
                <w:sz w:val="24"/>
                <w:szCs w:val="24"/>
              </w:rPr>
              <w:t xml:space="preserve">▪ </w:t>
            </w:r>
            <w:r w:rsidR="00BE4429" w:rsidRPr="006B7F0E">
              <w:rPr>
                <w:rFonts w:asciiTheme="majorBidi" w:hAnsiTheme="majorBidi" w:cstheme="majorBidi"/>
                <w:sz w:val="24"/>
                <w:szCs w:val="24"/>
              </w:rPr>
              <w:t>Expliquer l’action des hormones hypophysaires (FSH et LH) sur les secrétions hormonales des ovaires.</w:t>
            </w:r>
          </w:p>
        </w:tc>
      </w:tr>
    </w:tbl>
    <w:p w14:paraId="22D0371E" w14:textId="77777777" w:rsidR="00630EFB" w:rsidRPr="006B7F0E" w:rsidRDefault="00630EFB" w:rsidP="00630EF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DAA23E9" w14:textId="77777777" w:rsidR="001B308F" w:rsidRPr="006B7F0E" w:rsidRDefault="001B308F" w:rsidP="00630EF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3765" w:type="dxa"/>
        <w:tblLook w:val="04A0" w:firstRow="1" w:lastRow="0" w:firstColumn="1" w:lastColumn="0" w:noHBand="0" w:noVBand="1"/>
      </w:tblPr>
      <w:tblGrid>
        <w:gridCol w:w="1885"/>
        <w:gridCol w:w="4950"/>
        <w:gridCol w:w="1468"/>
        <w:gridCol w:w="5462"/>
      </w:tblGrid>
      <w:tr w:rsidR="001B308F" w:rsidRPr="006B7F0E" w14:paraId="33E5F455" w14:textId="77777777" w:rsidTr="00144FDF">
        <w:tc>
          <w:tcPr>
            <w:tcW w:w="6835" w:type="dxa"/>
            <w:gridSpan w:val="2"/>
          </w:tcPr>
          <w:p w14:paraId="3DEB6362" w14:textId="77777777" w:rsidR="001B308F" w:rsidRPr="006B7F0E" w:rsidRDefault="001B308F" w:rsidP="00144FD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B7F0E">
              <w:rPr>
                <w:rFonts w:asciiTheme="majorBidi" w:hAnsiTheme="majorBidi" w:cstheme="majorBidi"/>
                <w:sz w:val="24"/>
                <w:szCs w:val="24"/>
              </w:rPr>
              <w:t>Chapitres et notions</w:t>
            </w:r>
          </w:p>
        </w:tc>
        <w:tc>
          <w:tcPr>
            <w:tcW w:w="1468" w:type="dxa"/>
          </w:tcPr>
          <w:p w14:paraId="0A50835E" w14:textId="77777777" w:rsidR="001B308F" w:rsidRPr="006B7F0E" w:rsidRDefault="001B308F" w:rsidP="00144FD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B7F0E">
              <w:rPr>
                <w:rFonts w:asciiTheme="majorBidi" w:hAnsiTheme="majorBidi" w:cstheme="majorBidi"/>
                <w:sz w:val="24"/>
                <w:szCs w:val="24"/>
              </w:rPr>
              <w:t>Pages / support</w:t>
            </w:r>
          </w:p>
        </w:tc>
        <w:tc>
          <w:tcPr>
            <w:tcW w:w="5462" w:type="dxa"/>
          </w:tcPr>
          <w:p w14:paraId="4DCC5BAE" w14:textId="77777777" w:rsidR="001B308F" w:rsidRPr="006B7F0E" w:rsidRDefault="001B308F" w:rsidP="00144FD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B7F0E">
              <w:rPr>
                <w:rFonts w:asciiTheme="majorBidi" w:hAnsiTheme="majorBidi" w:cstheme="majorBidi"/>
                <w:sz w:val="24"/>
                <w:szCs w:val="24"/>
              </w:rPr>
              <w:t>Objectifs d’apprentissage</w:t>
            </w:r>
          </w:p>
        </w:tc>
      </w:tr>
      <w:tr w:rsidR="007F4EA5" w:rsidRPr="006B7F0E" w14:paraId="047DCB6D" w14:textId="77777777" w:rsidTr="001D3194">
        <w:trPr>
          <w:trHeight w:val="562"/>
        </w:trPr>
        <w:tc>
          <w:tcPr>
            <w:tcW w:w="1885" w:type="dxa"/>
            <w:vMerge w:val="restart"/>
          </w:tcPr>
          <w:p w14:paraId="50DB7158" w14:textId="5CBBD64E" w:rsidR="007F4EA5" w:rsidRPr="006B7F0E" w:rsidRDefault="007F4EA5" w:rsidP="002C430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7F0E">
              <w:rPr>
                <w:rFonts w:asciiTheme="majorBidi" w:hAnsiTheme="majorBidi" w:cstheme="majorBidi"/>
                <w:sz w:val="24"/>
                <w:szCs w:val="24"/>
              </w:rPr>
              <w:t>Chapitre 2 : De la fécondation à la naissance</w:t>
            </w:r>
          </w:p>
        </w:tc>
        <w:tc>
          <w:tcPr>
            <w:tcW w:w="4950" w:type="dxa"/>
          </w:tcPr>
          <w:p w14:paraId="39B48DEE" w14:textId="11DCB0E5" w:rsidR="007F4EA5" w:rsidRPr="006B7F0E" w:rsidRDefault="007F4EA5" w:rsidP="00FC54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7F0E">
              <w:rPr>
                <w:rFonts w:asciiTheme="majorBidi" w:hAnsiTheme="majorBidi" w:cstheme="majorBidi"/>
                <w:sz w:val="24"/>
                <w:szCs w:val="24"/>
              </w:rPr>
              <w:t xml:space="preserve">Activité 1 : </w:t>
            </w:r>
            <w:r w:rsidR="00FC54FA" w:rsidRPr="006B7F0E">
              <w:rPr>
                <w:rFonts w:asciiTheme="majorBidi" w:hAnsiTheme="majorBidi" w:cstheme="majorBidi"/>
                <w:sz w:val="24"/>
                <w:szCs w:val="24"/>
              </w:rPr>
              <w:t>La fécondation et le développement embryonnaire et fœtal</w:t>
            </w:r>
          </w:p>
          <w:p w14:paraId="0D980AF9" w14:textId="004838AD" w:rsidR="007F4EA5" w:rsidRPr="006B7F0E" w:rsidRDefault="007F4EA5" w:rsidP="00651EE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7F0E">
              <w:rPr>
                <w:rFonts w:asciiTheme="majorBidi" w:hAnsiTheme="majorBidi" w:cstheme="majorBidi"/>
                <w:sz w:val="24"/>
                <w:szCs w:val="24"/>
              </w:rPr>
              <w:t xml:space="preserve">Activité 2 : </w:t>
            </w:r>
            <w:r w:rsidR="00FC54FA" w:rsidRPr="006B7F0E">
              <w:rPr>
                <w:rFonts w:asciiTheme="majorBidi" w:hAnsiTheme="majorBidi" w:cstheme="majorBidi"/>
                <w:sz w:val="24"/>
                <w:szCs w:val="24"/>
              </w:rPr>
              <w:t>Le déroulement de la grossesse</w:t>
            </w:r>
            <w:r w:rsidR="00651EEE" w:rsidRPr="006B7F0E">
              <w:rPr>
                <w:rFonts w:asciiTheme="majorBidi" w:hAnsiTheme="majorBidi" w:cstheme="majorBidi"/>
                <w:sz w:val="24"/>
                <w:szCs w:val="24"/>
              </w:rPr>
              <w:t xml:space="preserve"> et le </w:t>
            </w:r>
            <w:r w:rsidR="00C11466" w:rsidRPr="006B7F0E">
              <w:rPr>
                <w:rFonts w:asciiTheme="majorBidi" w:hAnsiTheme="majorBidi" w:cstheme="majorBidi"/>
                <w:sz w:val="24"/>
                <w:szCs w:val="24"/>
              </w:rPr>
              <w:t>rôle</w:t>
            </w:r>
            <w:r w:rsidR="00651EEE" w:rsidRPr="006B7F0E">
              <w:rPr>
                <w:rFonts w:asciiTheme="majorBidi" w:hAnsiTheme="majorBidi" w:cstheme="majorBidi"/>
                <w:sz w:val="24"/>
                <w:szCs w:val="24"/>
              </w:rPr>
              <w:t xml:space="preserve"> du place</w:t>
            </w:r>
            <w:r w:rsidR="00C11466" w:rsidRPr="006B7F0E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="00651EEE" w:rsidRPr="006B7F0E">
              <w:rPr>
                <w:rFonts w:asciiTheme="majorBidi" w:hAnsiTheme="majorBidi" w:cstheme="majorBidi"/>
                <w:sz w:val="24"/>
                <w:szCs w:val="24"/>
              </w:rPr>
              <w:t>ta</w:t>
            </w:r>
          </w:p>
        </w:tc>
        <w:tc>
          <w:tcPr>
            <w:tcW w:w="1468" w:type="dxa"/>
          </w:tcPr>
          <w:p w14:paraId="1CE9A94F" w14:textId="2CA2F935" w:rsidR="007F4EA5" w:rsidRPr="006B7F0E" w:rsidRDefault="007F4EA5" w:rsidP="00144F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7F0E">
              <w:rPr>
                <w:rFonts w:asciiTheme="majorBidi" w:hAnsiTheme="majorBidi" w:cstheme="majorBidi"/>
                <w:sz w:val="24"/>
                <w:szCs w:val="24"/>
              </w:rPr>
              <w:t>Pages 22-23-24-25</w:t>
            </w:r>
          </w:p>
        </w:tc>
        <w:tc>
          <w:tcPr>
            <w:tcW w:w="5462" w:type="dxa"/>
            <w:vMerge w:val="restart"/>
          </w:tcPr>
          <w:p w14:paraId="5121A880" w14:textId="6D11FEA8" w:rsidR="007F4EA5" w:rsidRPr="006B7F0E" w:rsidRDefault="00050342" w:rsidP="007F4E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7F0E">
              <w:rPr>
                <w:rFonts w:asciiTheme="majorBidi" w:hAnsiTheme="majorBidi" w:cstheme="majorBidi"/>
                <w:sz w:val="24"/>
                <w:szCs w:val="24"/>
              </w:rPr>
              <w:t xml:space="preserve">▪ </w:t>
            </w:r>
            <w:r w:rsidR="007F4EA5" w:rsidRPr="006B7F0E">
              <w:rPr>
                <w:rFonts w:asciiTheme="majorBidi" w:hAnsiTheme="majorBidi" w:cstheme="majorBidi"/>
                <w:sz w:val="24"/>
                <w:szCs w:val="24"/>
              </w:rPr>
              <w:t>Réaliser une synthèse sous forme de schéma</w:t>
            </w:r>
          </w:p>
          <w:p w14:paraId="13DEC2EE" w14:textId="0CF2DD08" w:rsidR="007F4EA5" w:rsidRPr="006B7F0E" w:rsidRDefault="00050342" w:rsidP="007F4E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7F0E">
              <w:rPr>
                <w:rFonts w:asciiTheme="majorBidi" w:hAnsiTheme="majorBidi" w:cstheme="majorBidi"/>
                <w:sz w:val="24"/>
                <w:szCs w:val="24"/>
              </w:rPr>
              <w:t xml:space="preserve">▪ </w:t>
            </w:r>
            <w:r w:rsidR="007F4EA5" w:rsidRPr="006B7F0E">
              <w:rPr>
                <w:rFonts w:asciiTheme="majorBidi" w:hAnsiTheme="majorBidi" w:cstheme="majorBidi"/>
                <w:sz w:val="24"/>
                <w:szCs w:val="24"/>
              </w:rPr>
              <w:t>Localiser la fécondation et décrire ses principales étapes.</w:t>
            </w:r>
          </w:p>
          <w:p w14:paraId="63E8EFFD" w14:textId="4D73C313" w:rsidR="007F4EA5" w:rsidRPr="006B7F0E" w:rsidRDefault="00050342" w:rsidP="007F4E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7F0E">
              <w:rPr>
                <w:rFonts w:asciiTheme="majorBidi" w:hAnsiTheme="majorBidi" w:cstheme="majorBidi"/>
                <w:sz w:val="24"/>
                <w:szCs w:val="24"/>
              </w:rPr>
              <w:t xml:space="preserve">▪ </w:t>
            </w:r>
            <w:r w:rsidR="007F4EA5" w:rsidRPr="006B7F0E">
              <w:rPr>
                <w:rFonts w:asciiTheme="majorBidi" w:hAnsiTheme="majorBidi" w:cstheme="majorBidi"/>
                <w:sz w:val="24"/>
                <w:szCs w:val="24"/>
              </w:rPr>
              <w:t>Etudier les étapes de développement de l’embryon dans l’utérus de sa mère au cours de la grossesse.</w:t>
            </w:r>
          </w:p>
          <w:p w14:paraId="2A502A7A" w14:textId="77777777" w:rsidR="00050342" w:rsidRPr="006B7F0E" w:rsidRDefault="00050342" w:rsidP="0005034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7F0E">
              <w:rPr>
                <w:rFonts w:asciiTheme="majorBidi" w:hAnsiTheme="majorBidi" w:cstheme="majorBidi"/>
                <w:sz w:val="24"/>
                <w:szCs w:val="24"/>
              </w:rPr>
              <w:t xml:space="preserve">▪ </w:t>
            </w:r>
            <w:r w:rsidR="007F4EA5" w:rsidRPr="006B7F0E">
              <w:rPr>
                <w:rFonts w:asciiTheme="majorBidi" w:hAnsiTheme="majorBidi" w:cstheme="majorBidi"/>
                <w:sz w:val="24"/>
                <w:szCs w:val="24"/>
              </w:rPr>
              <w:t xml:space="preserve">Schématiser les relations nutritives entre le fœtus et l’organisme maternel à travers le placenta. </w:t>
            </w:r>
          </w:p>
          <w:p w14:paraId="373CD6FC" w14:textId="77777777" w:rsidR="00050342" w:rsidRPr="006B7F0E" w:rsidRDefault="00050342" w:rsidP="0005034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7F0E">
              <w:rPr>
                <w:rFonts w:asciiTheme="majorBidi" w:hAnsiTheme="majorBidi" w:cstheme="majorBidi"/>
                <w:sz w:val="24"/>
                <w:szCs w:val="24"/>
              </w:rPr>
              <w:t xml:space="preserve">▪ </w:t>
            </w:r>
            <w:r w:rsidR="007F4EA5" w:rsidRPr="006B7F0E">
              <w:rPr>
                <w:rFonts w:asciiTheme="majorBidi" w:hAnsiTheme="majorBidi" w:cstheme="majorBidi"/>
                <w:sz w:val="24"/>
                <w:szCs w:val="24"/>
              </w:rPr>
              <w:t>Mettre en relief l’importance des règles d’alimentation et d’hygiène de la femme enceinte.</w:t>
            </w:r>
          </w:p>
          <w:p w14:paraId="0FED8487" w14:textId="7346AE5B" w:rsidR="007F4EA5" w:rsidRPr="006B7F0E" w:rsidRDefault="00050342" w:rsidP="0005034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7F0E">
              <w:rPr>
                <w:rFonts w:asciiTheme="majorBidi" w:hAnsiTheme="majorBidi" w:cstheme="majorBidi"/>
                <w:sz w:val="24"/>
                <w:szCs w:val="24"/>
              </w:rPr>
              <w:t xml:space="preserve">▪ </w:t>
            </w:r>
            <w:r w:rsidR="007F4EA5" w:rsidRPr="006B7F0E">
              <w:rPr>
                <w:rFonts w:asciiTheme="majorBidi" w:hAnsiTheme="majorBidi" w:cstheme="majorBidi"/>
                <w:sz w:val="24"/>
                <w:szCs w:val="24"/>
              </w:rPr>
              <w:t>Décrire les principales phases de l’accouchement.</w:t>
            </w:r>
          </w:p>
          <w:p w14:paraId="2601F6D4" w14:textId="5BC14781" w:rsidR="007F4EA5" w:rsidRPr="006B7F0E" w:rsidRDefault="00050342" w:rsidP="007F4E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7F0E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▪ </w:t>
            </w:r>
            <w:r w:rsidR="007F4EA5" w:rsidRPr="006B7F0E">
              <w:rPr>
                <w:rFonts w:asciiTheme="majorBidi" w:hAnsiTheme="majorBidi" w:cstheme="majorBidi"/>
                <w:sz w:val="24"/>
                <w:szCs w:val="24"/>
              </w:rPr>
              <w:t>Citer les bienfaits de l’allaitement.</w:t>
            </w:r>
          </w:p>
          <w:p w14:paraId="7CC74A64" w14:textId="13EDB506" w:rsidR="007F4EA5" w:rsidRPr="006B7F0E" w:rsidRDefault="00050342" w:rsidP="007F4E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7F0E">
              <w:rPr>
                <w:rFonts w:asciiTheme="majorBidi" w:hAnsiTheme="majorBidi" w:cstheme="majorBidi"/>
                <w:sz w:val="24"/>
                <w:szCs w:val="24"/>
              </w:rPr>
              <w:t xml:space="preserve">▪ </w:t>
            </w:r>
            <w:r w:rsidR="007F4EA5" w:rsidRPr="006B7F0E">
              <w:rPr>
                <w:rFonts w:asciiTheme="majorBidi" w:hAnsiTheme="majorBidi" w:cstheme="majorBidi"/>
                <w:sz w:val="24"/>
                <w:szCs w:val="24"/>
              </w:rPr>
              <w:t xml:space="preserve">Déterminer l’origine du lait et le mécanisme de sa production </w:t>
            </w:r>
          </w:p>
        </w:tc>
      </w:tr>
      <w:tr w:rsidR="007F4EA5" w:rsidRPr="006B7F0E" w14:paraId="7B19000C" w14:textId="77777777" w:rsidTr="002C4307">
        <w:trPr>
          <w:trHeight w:val="260"/>
        </w:trPr>
        <w:tc>
          <w:tcPr>
            <w:tcW w:w="1885" w:type="dxa"/>
            <w:vMerge/>
          </w:tcPr>
          <w:p w14:paraId="43E8DC24" w14:textId="77777777" w:rsidR="007F4EA5" w:rsidRPr="006B7F0E" w:rsidRDefault="007F4EA5" w:rsidP="00144FD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20647E1A" w14:textId="77777777" w:rsidR="004E735D" w:rsidRPr="006B7F0E" w:rsidRDefault="007F4EA5" w:rsidP="004E735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7F0E">
              <w:rPr>
                <w:rFonts w:asciiTheme="majorBidi" w:hAnsiTheme="majorBidi" w:cstheme="majorBidi"/>
                <w:sz w:val="24"/>
                <w:szCs w:val="24"/>
              </w:rPr>
              <w:t xml:space="preserve">Activité 3 : </w:t>
            </w:r>
            <w:r w:rsidR="004E735D" w:rsidRPr="006B7F0E">
              <w:rPr>
                <w:rFonts w:asciiTheme="majorBidi" w:hAnsiTheme="majorBidi" w:cstheme="majorBidi"/>
                <w:sz w:val="24"/>
                <w:szCs w:val="24"/>
              </w:rPr>
              <w:t>L’accouchement et l’allaitement</w:t>
            </w:r>
          </w:p>
          <w:p w14:paraId="5752272B" w14:textId="4A466810" w:rsidR="007F4EA5" w:rsidRPr="006B7F0E" w:rsidRDefault="007F4EA5" w:rsidP="0042687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8" w:type="dxa"/>
          </w:tcPr>
          <w:p w14:paraId="05B59183" w14:textId="727268A1" w:rsidR="007F4EA5" w:rsidRPr="006B7F0E" w:rsidRDefault="007F4EA5" w:rsidP="00144F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7F0E">
              <w:rPr>
                <w:rFonts w:asciiTheme="majorBidi" w:hAnsiTheme="majorBidi" w:cstheme="majorBidi"/>
                <w:sz w:val="24"/>
                <w:szCs w:val="24"/>
              </w:rPr>
              <w:t>Pages 26-27</w:t>
            </w:r>
          </w:p>
        </w:tc>
        <w:tc>
          <w:tcPr>
            <w:tcW w:w="5462" w:type="dxa"/>
            <w:vMerge/>
          </w:tcPr>
          <w:p w14:paraId="219C0FDB" w14:textId="7909BC9D" w:rsidR="007F4EA5" w:rsidRPr="006B7F0E" w:rsidRDefault="007F4EA5" w:rsidP="00144FD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420EB30" w14:textId="77777777" w:rsidR="001B308F" w:rsidRPr="006B7F0E" w:rsidRDefault="001B308F" w:rsidP="00630EF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D378E04" w14:textId="77777777" w:rsidR="003721CA" w:rsidRPr="006B7F0E" w:rsidRDefault="003721CA" w:rsidP="00630EF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3765" w:type="dxa"/>
        <w:tblLook w:val="04A0" w:firstRow="1" w:lastRow="0" w:firstColumn="1" w:lastColumn="0" w:noHBand="0" w:noVBand="1"/>
      </w:tblPr>
      <w:tblGrid>
        <w:gridCol w:w="1885"/>
        <w:gridCol w:w="4950"/>
        <w:gridCol w:w="1468"/>
        <w:gridCol w:w="5462"/>
      </w:tblGrid>
      <w:tr w:rsidR="003721CA" w:rsidRPr="006B7F0E" w14:paraId="64A17B90" w14:textId="77777777" w:rsidTr="00144FDF">
        <w:tc>
          <w:tcPr>
            <w:tcW w:w="6835" w:type="dxa"/>
            <w:gridSpan w:val="2"/>
          </w:tcPr>
          <w:p w14:paraId="4BEC06F7" w14:textId="77777777" w:rsidR="003721CA" w:rsidRPr="006B7F0E" w:rsidRDefault="003721CA" w:rsidP="00144FD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B7F0E">
              <w:rPr>
                <w:rFonts w:asciiTheme="majorBidi" w:hAnsiTheme="majorBidi" w:cstheme="majorBidi"/>
                <w:sz w:val="24"/>
                <w:szCs w:val="24"/>
              </w:rPr>
              <w:t>Chapitres et notions</w:t>
            </w:r>
          </w:p>
        </w:tc>
        <w:tc>
          <w:tcPr>
            <w:tcW w:w="1468" w:type="dxa"/>
          </w:tcPr>
          <w:p w14:paraId="38D420C6" w14:textId="77777777" w:rsidR="003721CA" w:rsidRPr="006B7F0E" w:rsidRDefault="003721CA" w:rsidP="00144FD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B7F0E">
              <w:rPr>
                <w:rFonts w:asciiTheme="majorBidi" w:hAnsiTheme="majorBidi" w:cstheme="majorBidi"/>
                <w:sz w:val="24"/>
                <w:szCs w:val="24"/>
              </w:rPr>
              <w:t>Pages / support</w:t>
            </w:r>
          </w:p>
        </w:tc>
        <w:tc>
          <w:tcPr>
            <w:tcW w:w="5462" w:type="dxa"/>
          </w:tcPr>
          <w:p w14:paraId="3CFA2D1D" w14:textId="77777777" w:rsidR="003721CA" w:rsidRPr="006B7F0E" w:rsidRDefault="003721CA" w:rsidP="00144FD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B7F0E">
              <w:rPr>
                <w:rFonts w:asciiTheme="majorBidi" w:hAnsiTheme="majorBidi" w:cstheme="majorBidi"/>
                <w:sz w:val="24"/>
                <w:szCs w:val="24"/>
              </w:rPr>
              <w:t>Objectifs d’apprentissage</w:t>
            </w:r>
          </w:p>
        </w:tc>
      </w:tr>
      <w:tr w:rsidR="00617761" w:rsidRPr="006B7F0E" w14:paraId="73516E58" w14:textId="77777777" w:rsidTr="00B90669">
        <w:trPr>
          <w:trHeight w:val="1214"/>
        </w:trPr>
        <w:tc>
          <w:tcPr>
            <w:tcW w:w="1885" w:type="dxa"/>
          </w:tcPr>
          <w:p w14:paraId="220E2ED6" w14:textId="19C3DAB5" w:rsidR="00617761" w:rsidRPr="006B7F0E" w:rsidRDefault="00617761" w:rsidP="00144F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7F0E">
              <w:rPr>
                <w:rFonts w:asciiTheme="majorBidi" w:hAnsiTheme="majorBidi" w:cstheme="majorBidi"/>
                <w:sz w:val="24"/>
                <w:szCs w:val="24"/>
              </w:rPr>
              <w:t>Chapitre 3 : Maitrise de la reproduction</w:t>
            </w:r>
          </w:p>
          <w:p w14:paraId="15279452" w14:textId="77777777" w:rsidR="00617761" w:rsidRPr="006B7F0E" w:rsidRDefault="00617761" w:rsidP="00144FD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2A71D9B1" w14:textId="55858BE9" w:rsidR="00617761" w:rsidRPr="006B7F0E" w:rsidRDefault="00617761" w:rsidP="00144F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7F0E">
              <w:rPr>
                <w:rFonts w:asciiTheme="majorBidi" w:hAnsiTheme="majorBidi" w:cstheme="majorBidi"/>
                <w:sz w:val="24"/>
                <w:szCs w:val="24"/>
              </w:rPr>
              <w:t>Activité 1 : Méthodes contraceptives et méthodes contragestives</w:t>
            </w:r>
          </w:p>
        </w:tc>
        <w:tc>
          <w:tcPr>
            <w:tcW w:w="1468" w:type="dxa"/>
          </w:tcPr>
          <w:p w14:paraId="6CB93536" w14:textId="1030D69F" w:rsidR="00617761" w:rsidRPr="006B7F0E" w:rsidRDefault="00617761" w:rsidP="00144F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7F0E">
              <w:rPr>
                <w:rFonts w:asciiTheme="majorBidi" w:hAnsiTheme="majorBidi" w:cstheme="majorBidi"/>
                <w:sz w:val="24"/>
                <w:szCs w:val="24"/>
              </w:rPr>
              <w:t>Pages 32-33</w:t>
            </w:r>
          </w:p>
        </w:tc>
        <w:tc>
          <w:tcPr>
            <w:tcW w:w="5462" w:type="dxa"/>
          </w:tcPr>
          <w:p w14:paraId="24310EF0" w14:textId="77777777" w:rsidR="00113127" w:rsidRPr="006B7F0E" w:rsidRDefault="00113127" w:rsidP="001131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7F0E">
              <w:rPr>
                <w:rFonts w:asciiTheme="majorBidi" w:hAnsiTheme="majorBidi" w:cstheme="majorBidi"/>
                <w:sz w:val="24"/>
                <w:szCs w:val="24"/>
              </w:rPr>
              <w:t xml:space="preserve">▪ </w:t>
            </w:r>
            <w:r w:rsidR="00D7546A" w:rsidRPr="006B7F0E">
              <w:rPr>
                <w:rFonts w:asciiTheme="majorBidi" w:hAnsiTheme="majorBidi" w:cstheme="majorBidi"/>
                <w:sz w:val="24"/>
                <w:szCs w:val="24"/>
              </w:rPr>
              <w:t>Distinguer entre méthodes contraceptives et contragestives.</w:t>
            </w:r>
          </w:p>
          <w:p w14:paraId="250FB5F6" w14:textId="4B03933F" w:rsidR="00D7546A" w:rsidRPr="006B7F0E" w:rsidRDefault="00113127" w:rsidP="001131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7F0E">
              <w:rPr>
                <w:rFonts w:asciiTheme="majorBidi" w:hAnsiTheme="majorBidi" w:cstheme="majorBidi"/>
                <w:sz w:val="24"/>
                <w:szCs w:val="24"/>
              </w:rPr>
              <w:t xml:space="preserve">▪ </w:t>
            </w:r>
            <w:r w:rsidR="00D7546A" w:rsidRPr="006B7F0E">
              <w:rPr>
                <w:rFonts w:asciiTheme="majorBidi" w:hAnsiTheme="majorBidi" w:cstheme="majorBidi"/>
                <w:sz w:val="24"/>
                <w:szCs w:val="24"/>
              </w:rPr>
              <w:t>Classer les différents moyens de contrôle de la procréation en moyens mécaniques et chimiques.</w:t>
            </w:r>
          </w:p>
          <w:p w14:paraId="4AEC113E" w14:textId="77777777" w:rsidR="004A6EBB" w:rsidRPr="006B7F0E" w:rsidRDefault="00317E7C" w:rsidP="004A6E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7F0E">
              <w:rPr>
                <w:rFonts w:asciiTheme="majorBidi" w:hAnsiTheme="majorBidi" w:cstheme="majorBidi"/>
                <w:sz w:val="24"/>
                <w:szCs w:val="24"/>
              </w:rPr>
              <w:t xml:space="preserve">▪ </w:t>
            </w:r>
            <w:r w:rsidR="00D7546A" w:rsidRPr="006B7F0E">
              <w:rPr>
                <w:rFonts w:asciiTheme="majorBidi" w:hAnsiTheme="majorBidi" w:cstheme="majorBidi"/>
                <w:sz w:val="24"/>
                <w:szCs w:val="24"/>
              </w:rPr>
              <w:t>Expliquer le mode de fonctionnement de la pilule et citer les divers types de pilules et leurs modes d’actions.</w:t>
            </w:r>
          </w:p>
          <w:p w14:paraId="274A9561" w14:textId="235B96B9" w:rsidR="00617761" w:rsidRPr="006B7F0E" w:rsidRDefault="004A6EBB" w:rsidP="000D0AE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7F0E">
              <w:rPr>
                <w:rFonts w:asciiTheme="majorBidi" w:hAnsiTheme="majorBidi" w:cstheme="majorBidi"/>
                <w:sz w:val="24"/>
                <w:szCs w:val="24"/>
              </w:rPr>
              <w:t xml:space="preserve">▪ </w:t>
            </w:r>
            <w:r w:rsidR="00D7546A" w:rsidRPr="006B7F0E">
              <w:rPr>
                <w:rFonts w:asciiTheme="majorBidi" w:hAnsiTheme="majorBidi" w:cstheme="majorBidi"/>
                <w:sz w:val="24"/>
                <w:szCs w:val="24"/>
              </w:rPr>
              <w:t>Etablir la fiabilité des différentes méthodes contraceptives et contragestives.</w:t>
            </w:r>
          </w:p>
        </w:tc>
      </w:tr>
    </w:tbl>
    <w:p w14:paraId="50E3BD8F" w14:textId="77777777" w:rsidR="003721CA" w:rsidRPr="006B7F0E" w:rsidRDefault="003721CA" w:rsidP="00630EF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65E315E" w14:textId="77777777" w:rsidR="005E3512" w:rsidRPr="006B7F0E" w:rsidRDefault="005E3512" w:rsidP="00630EF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3765" w:type="dxa"/>
        <w:tblLook w:val="04A0" w:firstRow="1" w:lastRow="0" w:firstColumn="1" w:lastColumn="0" w:noHBand="0" w:noVBand="1"/>
      </w:tblPr>
      <w:tblGrid>
        <w:gridCol w:w="1885"/>
        <w:gridCol w:w="4950"/>
        <w:gridCol w:w="1468"/>
        <w:gridCol w:w="5462"/>
      </w:tblGrid>
      <w:tr w:rsidR="005E3512" w:rsidRPr="006B7F0E" w14:paraId="35733112" w14:textId="77777777" w:rsidTr="00144FDF">
        <w:tc>
          <w:tcPr>
            <w:tcW w:w="6835" w:type="dxa"/>
            <w:gridSpan w:val="2"/>
          </w:tcPr>
          <w:p w14:paraId="561F9A9F" w14:textId="77777777" w:rsidR="005E3512" w:rsidRPr="006B7F0E" w:rsidRDefault="005E3512" w:rsidP="00144FD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B7F0E">
              <w:rPr>
                <w:rFonts w:asciiTheme="majorBidi" w:hAnsiTheme="majorBidi" w:cstheme="majorBidi"/>
                <w:sz w:val="24"/>
                <w:szCs w:val="24"/>
              </w:rPr>
              <w:t>Chapitres et notions</w:t>
            </w:r>
          </w:p>
        </w:tc>
        <w:tc>
          <w:tcPr>
            <w:tcW w:w="1468" w:type="dxa"/>
          </w:tcPr>
          <w:p w14:paraId="157BABE5" w14:textId="77777777" w:rsidR="005E3512" w:rsidRPr="006B7F0E" w:rsidRDefault="005E3512" w:rsidP="00144FD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B7F0E">
              <w:rPr>
                <w:rFonts w:asciiTheme="majorBidi" w:hAnsiTheme="majorBidi" w:cstheme="majorBidi"/>
                <w:sz w:val="24"/>
                <w:szCs w:val="24"/>
              </w:rPr>
              <w:t>Pages / support</w:t>
            </w:r>
          </w:p>
        </w:tc>
        <w:tc>
          <w:tcPr>
            <w:tcW w:w="5462" w:type="dxa"/>
          </w:tcPr>
          <w:p w14:paraId="447E1EDF" w14:textId="77777777" w:rsidR="005E3512" w:rsidRPr="006B7F0E" w:rsidRDefault="005E3512" w:rsidP="00144FD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B7F0E">
              <w:rPr>
                <w:rFonts w:asciiTheme="majorBidi" w:hAnsiTheme="majorBidi" w:cstheme="majorBidi"/>
                <w:sz w:val="24"/>
                <w:szCs w:val="24"/>
              </w:rPr>
              <w:t>Objectifs d’apprentissage</w:t>
            </w:r>
          </w:p>
        </w:tc>
      </w:tr>
      <w:tr w:rsidR="003549F2" w:rsidRPr="006B7F0E" w14:paraId="5E7AFB85" w14:textId="77777777" w:rsidTr="003549F2">
        <w:trPr>
          <w:trHeight w:val="690"/>
        </w:trPr>
        <w:tc>
          <w:tcPr>
            <w:tcW w:w="1885" w:type="dxa"/>
            <w:vMerge w:val="restart"/>
          </w:tcPr>
          <w:p w14:paraId="4F5E78F6" w14:textId="5D1C875E" w:rsidR="003549F2" w:rsidRPr="006B7F0E" w:rsidRDefault="003549F2" w:rsidP="00017D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7F0E">
              <w:rPr>
                <w:rFonts w:asciiTheme="majorBidi" w:hAnsiTheme="majorBidi" w:cstheme="majorBidi"/>
                <w:sz w:val="24"/>
                <w:szCs w:val="24"/>
              </w:rPr>
              <w:t>Chapitre 5 : Les chromosomes, supports de l'hérédité</w:t>
            </w:r>
          </w:p>
        </w:tc>
        <w:tc>
          <w:tcPr>
            <w:tcW w:w="4950" w:type="dxa"/>
          </w:tcPr>
          <w:p w14:paraId="765362AF" w14:textId="21036257" w:rsidR="003549F2" w:rsidRPr="006B7F0E" w:rsidRDefault="003549F2" w:rsidP="00144F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7F0E">
              <w:rPr>
                <w:rFonts w:asciiTheme="majorBidi" w:hAnsiTheme="majorBidi" w:cstheme="majorBidi"/>
                <w:sz w:val="24"/>
                <w:szCs w:val="24"/>
              </w:rPr>
              <w:t>Activité 1 : Le caryotype humain</w:t>
            </w:r>
          </w:p>
        </w:tc>
        <w:tc>
          <w:tcPr>
            <w:tcW w:w="1468" w:type="dxa"/>
          </w:tcPr>
          <w:p w14:paraId="77FDD44C" w14:textId="742E77DB" w:rsidR="003549F2" w:rsidRPr="006B7F0E" w:rsidRDefault="003549F2" w:rsidP="00144F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7F0E">
              <w:rPr>
                <w:rFonts w:asciiTheme="majorBidi" w:hAnsiTheme="majorBidi" w:cstheme="majorBidi"/>
                <w:sz w:val="24"/>
                <w:szCs w:val="24"/>
              </w:rPr>
              <w:t>Pages 46-47</w:t>
            </w:r>
          </w:p>
        </w:tc>
        <w:tc>
          <w:tcPr>
            <w:tcW w:w="5462" w:type="dxa"/>
          </w:tcPr>
          <w:p w14:paraId="75ED0718" w14:textId="40FF5D8D" w:rsidR="00D075B6" w:rsidRPr="006B7F0E" w:rsidRDefault="0089704B" w:rsidP="00D075B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7F0E">
              <w:rPr>
                <w:rFonts w:asciiTheme="majorBidi" w:hAnsiTheme="majorBidi" w:cstheme="majorBidi"/>
                <w:sz w:val="24"/>
                <w:szCs w:val="24"/>
              </w:rPr>
              <w:t xml:space="preserve">▪ </w:t>
            </w:r>
            <w:r w:rsidR="00D075B6" w:rsidRPr="006B7F0E">
              <w:rPr>
                <w:rFonts w:asciiTheme="majorBidi" w:hAnsiTheme="majorBidi" w:cstheme="majorBidi"/>
                <w:sz w:val="24"/>
                <w:szCs w:val="24"/>
              </w:rPr>
              <w:t>Définir ce qu’est un caryotype.</w:t>
            </w:r>
          </w:p>
          <w:p w14:paraId="5E68330A" w14:textId="6CCC5DB7" w:rsidR="003549F2" w:rsidRPr="006B7F0E" w:rsidRDefault="0089704B" w:rsidP="0089704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7F0E">
              <w:rPr>
                <w:rFonts w:asciiTheme="majorBidi" w:hAnsiTheme="majorBidi" w:cstheme="majorBidi"/>
                <w:sz w:val="24"/>
                <w:szCs w:val="24"/>
              </w:rPr>
              <w:t>▪</w:t>
            </w:r>
            <w:r w:rsidR="00D075B6" w:rsidRPr="006B7F0E">
              <w:rPr>
                <w:rFonts w:asciiTheme="majorBidi" w:hAnsiTheme="majorBidi" w:cstheme="majorBidi"/>
                <w:sz w:val="24"/>
                <w:szCs w:val="24"/>
              </w:rPr>
              <w:t xml:space="preserve"> Repérer certaines anomalies sur des exemples de caryotypes humains. </w:t>
            </w:r>
          </w:p>
        </w:tc>
      </w:tr>
      <w:tr w:rsidR="005E077C" w:rsidRPr="006B7F0E" w14:paraId="7B337A71" w14:textId="77777777" w:rsidTr="003549F2">
        <w:trPr>
          <w:trHeight w:val="345"/>
        </w:trPr>
        <w:tc>
          <w:tcPr>
            <w:tcW w:w="1885" w:type="dxa"/>
            <w:vMerge/>
          </w:tcPr>
          <w:p w14:paraId="1D4E7A79" w14:textId="77777777" w:rsidR="005E077C" w:rsidRPr="006B7F0E" w:rsidRDefault="005E077C" w:rsidP="005E35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66BD39CA" w14:textId="65648A5A" w:rsidR="005E077C" w:rsidRPr="006B7F0E" w:rsidRDefault="005E077C" w:rsidP="00017D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7F0E">
              <w:rPr>
                <w:rFonts w:asciiTheme="majorBidi" w:hAnsiTheme="majorBidi" w:cstheme="majorBidi"/>
                <w:sz w:val="24"/>
                <w:szCs w:val="24"/>
              </w:rPr>
              <w:t>Structure et constituants chimiques des chromosomes ADN</w:t>
            </w:r>
          </w:p>
        </w:tc>
        <w:tc>
          <w:tcPr>
            <w:tcW w:w="1468" w:type="dxa"/>
          </w:tcPr>
          <w:p w14:paraId="045EDF51" w14:textId="28CA364C" w:rsidR="005E077C" w:rsidRPr="006B7F0E" w:rsidRDefault="005E077C" w:rsidP="00144F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7F0E">
              <w:rPr>
                <w:rFonts w:asciiTheme="majorBidi" w:hAnsiTheme="majorBidi" w:cstheme="majorBidi"/>
                <w:sz w:val="24"/>
                <w:szCs w:val="24"/>
              </w:rPr>
              <w:t>PPT</w:t>
            </w:r>
          </w:p>
        </w:tc>
        <w:tc>
          <w:tcPr>
            <w:tcW w:w="5462" w:type="dxa"/>
            <w:vMerge w:val="restart"/>
          </w:tcPr>
          <w:p w14:paraId="46A9CD3D" w14:textId="0B2C95A8" w:rsidR="005E077C" w:rsidRPr="006B7F0E" w:rsidRDefault="005E077C" w:rsidP="00144F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7F0E">
              <w:rPr>
                <w:rFonts w:asciiTheme="majorBidi" w:hAnsiTheme="majorBidi" w:cstheme="majorBidi"/>
                <w:sz w:val="24"/>
                <w:szCs w:val="24"/>
              </w:rPr>
              <w:t>Savoir utiliser le code génétique pour établir à partir d’un fragment de gène la séquence protéique adéquate</w:t>
            </w:r>
          </w:p>
        </w:tc>
      </w:tr>
      <w:tr w:rsidR="005E077C" w:rsidRPr="006B7F0E" w14:paraId="01946BCA" w14:textId="77777777" w:rsidTr="00144FDF">
        <w:trPr>
          <w:trHeight w:val="345"/>
        </w:trPr>
        <w:tc>
          <w:tcPr>
            <w:tcW w:w="1885" w:type="dxa"/>
            <w:vMerge/>
          </w:tcPr>
          <w:p w14:paraId="74F6E1FD" w14:textId="77777777" w:rsidR="005E077C" w:rsidRPr="006B7F0E" w:rsidRDefault="005E077C" w:rsidP="005E35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3E48A52A" w14:textId="3F9DEC19" w:rsidR="005E077C" w:rsidRPr="006B7F0E" w:rsidRDefault="005E077C" w:rsidP="00921C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7F0E">
              <w:rPr>
                <w:rFonts w:asciiTheme="majorBidi" w:hAnsiTheme="majorBidi" w:cstheme="majorBidi"/>
                <w:sz w:val="24"/>
                <w:szCs w:val="24"/>
              </w:rPr>
              <w:t>Synthèse des protéines</w:t>
            </w:r>
          </w:p>
        </w:tc>
        <w:tc>
          <w:tcPr>
            <w:tcW w:w="1468" w:type="dxa"/>
          </w:tcPr>
          <w:p w14:paraId="03F518A6" w14:textId="566F6479" w:rsidR="005E077C" w:rsidRPr="006B7F0E" w:rsidRDefault="005E077C" w:rsidP="00144F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7F0E">
              <w:rPr>
                <w:rFonts w:asciiTheme="majorBidi" w:hAnsiTheme="majorBidi" w:cstheme="majorBidi"/>
                <w:sz w:val="24"/>
                <w:szCs w:val="24"/>
              </w:rPr>
              <w:t>PPT</w:t>
            </w:r>
          </w:p>
        </w:tc>
        <w:tc>
          <w:tcPr>
            <w:tcW w:w="5462" w:type="dxa"/>
            <w:vMerge/>
          </w:tcPr>
          <w:p w14:paraId="6CBF4A5B" w14:textId="77777777" w:rsidR="005E077C" w:rsidRPr="006B7F0E" w:rsidRDefault="005E077C" w:rsidP="00144FD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0E11642" w14:textId="77777777" w:rsidR="005E3512" w:rsidRPr="006B7F0E" w:rsidRDefault="005E3512" w:rsidP="00630EF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sectPr w:rsidR="005E3512" w:rsidRPr="006B7F0E" w:rsidSect="008334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7070D"/>
    <w:multiLevelType w:val="hybridMultilevel"/>
    <w:tmpl w:val="50F08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25698"/>
    <w:multiLevelType w:val="hybridMultilevel"/>
    <w:tmpl w:val="A252A3DA"/>
    <w:lvl w:ilvl="0" w:tplc="1040B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D1F33"/>
    <w:multiLevelType w:val="hybridMultilevel"/>
    <w:tmpl w:val="50F084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3116F"/>
    <w:multiLevelType w:val="hybridMultilevel"/>
    <w:tmpl w:val="FECA1B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E6C32"/>
    <w:multiLevelType w:val="hybridMultilevel"/>
    <w:tmpl w:val="FECA1B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E7F76"/>
    <w:multiLevelType w:val="hybridMultilevel"/>
    <w:tmpl w:val="FECA1B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603F3"/>
    <w:multiLevelType w:val="hybridMultilevel"/>
    <w:tmpl w:val="39C6A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86C24"/>
    <w:multiLevelType w:val="hybridMultilevel"/>
    <w:tmpl w:val="D8C0EC52"/>
    <w:lvl w:ilvl="0" w:tplc="1040B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15FE3"/>
    <w:multiLevelType w:val="hybridMultilevel"/>
    <w:tmpl w:val="FECA1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C6CB6"/>
    <w:multiLevelType w:val="hybridMultilevel"/>
    <w:tmpl w:val="50F084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01C16"/>
    <w:multiLevelType w:val="hybridMultilevel"/>
    <w:tmpl w:val="50F084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F321D"/>
    <w:multiLevelType w:val="hybridMultilevel"/>
    <w:tmpl w:val="39C6AC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E6B8A"/>
    <w:multiLevelType w:val="hybridMultilevel"/>
    <w:tmpl w:val="50F084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D34B0"/>
    <w:multiLevelType w:val="hybridMultilevel"/>
    <w:tmpl w:val="39C6AC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13258">
    <w:abstractNumId w:val="1"/>
  </w:num>
  <w:num w:numId="2" w16cid:durableId="573979642">
    <w:abstractNumId w:val="0"/>
  </w:num>
  <w:num w:numId="3" w16cid:durableId="48263260">
    <w:abstractNumId w:val="7"/>
  </w:num>
  <w:num w:numId="4" w16cid:durableId="1591618322">
    <w:abstractNumId w:val="8"/>
  </w:num>
  <w:num w:numId="5" w16cid:durableId="54281894">
    <w:abstractNumId w:val="6"/>
  </w:num>
  <w:num w:numId="6" w16cid:durableId="728502579">
    <w:abstractNumId w:val="10"/>
  </w:num>
  <w:num w:numId="7" w16cid:durableId="1566145636">
    <w:abstractNumId w:val="12"/>
  </w:num>
  <w:num w:numId="8" w16cid:durableId="408817552">
    <w:abstractNumId w:val="2"/>
  </w:num>
  <w:num w:numId="9" w16cid:durableId="1460949129">
    <w:abstractNumId w:val="9"/>
  </w:num>
  <w:num w:numId="10" w16cid:durableId="542210702">
    <w:abstractNumId w:val="5"/>
  </w:num>
  <w:num w:numId="11" w16cid:durableId="2067297842">
    <w:abstractNumId w:val="3"/>
  </w:num>
  <w:num w:numId="12" w16cid:durableId="377240300">
    <w:abstractNumId w:val="4"/>
  </w:num>
  <w:num w:numId="13" w16cid:durableId="1988587728">
    <w:abstractNumId w:val="13"/>
  </w:num>
  <w:num w:numId="14" w16cid:durableId="8098288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5A"/>
    <w:rsid w:val="0001085A"/>
    <w:rsid w:val="000124B5"/>
    <w:rsid w:val="00017D91"/>
    <w:rsid w:val="00050342"/>
    <w:rsid w:val="0005663B"/>
    <w:rsid w:val="000728CC"/>
    <w:rsid w:val="000A0918"/>
    <w:rsid w:val="000A1A03"/>
    <w:rsid w:val="000A7BE3"/>
    <w:rsid w:val="000C6A8A"/>
    <w:rsid w:val="000D0AEC"/>
    <w:rsid w:val="000E0851"/>
    <w:rsid w:val="00111642"/>
    <w:rsid w:val="00113127"/>
    <w:rsid w:val="00131081"/>
    <w:rsid w:val="001B308F"/>
    <w:rsid w:val="001E0A19"/>
    <w:rsid w:val="00201B51"/>
    <w:rsid w:val="00245890"/>
    <w:rsid w:val="00275461"/>
    <w:rsid w:val="002861FC"/>
    <w:rsid w:val="002A45E3"/>
    <w:rsid w:val="002C4307"/>
    <w:rsid w:val="002F0E01"/>
    <w:rsid w:val="00305419"/>
    <w:rsid w:val="00317E7C"/>
    <w:rsid w:val="003250C1"/>
    <w:rsid w:val="003549F2"/>
    <w:rsid w:val="00357705"/>
    <w:rsid w:val="003721CA"/>
    <w:rsid w:val="003D7FD2"/>
    <w:rsid w:val="003F5CCA"/>
    <w:rsid w:val="0042687D"/>
    <w:rsid w:val="0043408C"/>
    <w:rsid w:val="00455C7F"/>
    <w:rsid w:val="004745E9"/>
    <w:rsid w:val="00475B37"/>
    <w:rsid w:val="0048715F"/>
    <w:rsid w:val="004910BF"/>
    <w:rsid w:val="004A66D9"/>
    <w:rsid w:val="004A6EBB"/>
    <w:rsid w:val="004B24F9"/>
    <w:rsid w:val="004D49F0"/>
    <w:rsid w:val="004D4A33"/>
    <w:rsid w:val="004E735D"/>
    <w:rsid w:val="005114DF"/>
    <w:rsid w:val="00515F4C"/>
    <w:rsid w:val="0051779D"/>
    <w:rsid w:val="00541EAC"/>
    <w:rsid w:val="00553F7E"/>
    <w:rsid w:val="00590016"/>
    <w:rsid w:val="00591051"/>
    <w:rsid w:val="00594C3F"/>
    <w:rsid w:val="005A2799"/>
    <w:rsid w:val="005E077C"/>
    <w:rsid w:val="005E3512"/>
    <w:rsid w:val="005F774A"/>
    <w:rsid w:val="00617761"/>
    <w:rsid w:val="00622954"/>
    <w:rsid w:val="0062783C"/>
    <w:rsid w:val="00630EFB"/>
    <w:rsid w:val="006311EC"/>
    <w:rsid w:val="00651EEE"/>
    <w:rsid w:val="00685639"/>
    <w:rsid w:val="006B7F0E"/>
    <w:rsid w:val="00704A72"/>
    <w:rsid w:val="00711E3E"/>
    <w:rsid w:val="00720F48"/>
    <w:rsid w:val="007974F2"/>
    <w:rsid w:val="007A247E"/>
    <w:rsid w:val="007F4EA5"/>
    <w:rsid w:val="007F546D"/>
    <w:rsid w:val="007F681D"/>
    <w:rsid w:val="00804DF3"/>
    <w:rsid w:val="00814477"/>
    <w:rsid w:val="00823AA8"/>
    <w:rsid w:val="00833487"/>
    <w:rsid w:val="008578C5"/>
    <w:rsid w:val="00872A54"/>
    <w:rsid w:val="0088102A"/>
    <w:rsid w:val="0089704B"/>
    <w:rsid w:val="008C1E8F"/>
    <w:rsid w:val="008E4511"/>
    <w:rsid w:val="00921CEF"/>
    <w:rsid w:val="0093663E"/>
    <w:rsid w:val="009C0668"/>
    <w:rsid w:val="009C2AB0"/>
    <w:rsid w:val="009D57CF"/>
    <w:rsid w:val="009F4C8D"/>
    <w:rsid w:val="00A07C13"/>
    <w:rsid w:val="00A26DB1"/>
    <w:rsid w:val="00A3697B"/>
    <w:rsid w:val="00A52850"/>
    <w:rsid w:val="00A600BD"/>
    <w:rsid w:val="00A730DF"/>
    <w:rsid w:val="00A7410B"/>
    <w:rsid w:val="00A95B57"/>
    <w:rsid w:val="00A97CA1"/>
    <w:rsid w:val="00AF48D5"/>
    <w:rsid w:val="00B36055"/>
    <w:rsid w:val="00B63F94"/>
    <w:rsid w:val="00B73D10"/>
    <w:rsid w:val="00BE4429"/>
    <w:rsid w:val="00BF6259"/>
    <w:rsid w:val="00C11466"/>
    <w:rsid w:val="00C12772"/>
    <w:rsid w:val="00C20970"/>
    <w:rsid w:val="00C25B5D"/>
    <w:rsid w:val="00C52087"/>
    <w:rsid w:val="00C706B6"/>
    <w:rsid w:val="00C831C0"/>
    <w:rsid w:val="00C96DAB"/>
    <w:rsid w:val="00D075B6"/>
    <w:rsid w:val="00D31C7E"/>
    <w:rsid w:val="00D34B46"/>
    <w:rsid w:val="00D7546A"/>
    <w:rsid w:val="00D8580A"/>
    <w:rsid w:val="00D877AF"/>
    <w:rsid w:val="00DD687A"/>
    <w:rsid w:val="00DF60B0"/>
    <w:rsid w:val="00E508A4"/>
    <w:rsid w:val="00E6290A"/>
    <w:rsid w:val="00E64F95"/>
    <w:rsid w:val="00E75050"/>
    <w:rsid w:val="00E905D7"/>
    <w:rsid w:val="00EA02AC"/>
    <w:rsid w:val="00ED6A8C"/>
    <w:rsid w:val="00F04B39"/>
    <w:rsid w:val="00F05932"/>
    <w:rsid w:val="00F55FE0"/>
    <w:rsid w:val="00FB61FD"/>
    <w:rsid w:val="00FC54FA"/>
    <w:rsid w:val="00FE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82043"/>
  <w15:chartTrackingRefBased/>
  <w15:docId w15:val="{1D48D5EB-32D8-4015-89A1-4D6FD865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8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8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8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8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8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8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8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8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85A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8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85A"/>
    <w:rPr>
      <w:rFonts w:eastAsiaTheme="majorEastAsia" w:cstheme="majorBidi"/>
      <w:color w:val="2F5496" w:themeColor="accent1" w:themeShade="BF"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85A"/>
    <w:rPr>
      <w:rFonts w:eastAsiaTheme="majorEastAsia" w:cstheme="majorBidi"/>
      <w:i/>
      <w:iCs/>
      <w:color w:val="2F5496" w:themeColor="accent1" w:themeShade="BF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85A"/>
    <w:rPr>
      <w:rFonts w:eastAsiaTheme="majorEastAsia" w:cstheme="majorBidi"/>
      <w:color w:val="2F5496" w:themeColor="accent1" w:themeShade="BF"/>
      <w:lang w:val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85A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85A"/>
    <w:rPr>
      <w:rFonts w:eastAsiaTheme="majorEastAsia" w:cstheme="majorBidi"/>
      <w:color w:val="595959" w:themeColor="text1" w:themeTint="A6"/>
      <w:lang w:val="fr-F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85A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85A"/>
    <w:rPr>
      <w:rFonts w:eastAsiaTheme="majorEastAsia" w:cstheme="majorBidi"/>
      <w:color w:val="272727" w:themeColor="text1" w:themeTint="D8"/>
      <w:lang w:val="fr-FR"/>
    </w:rPr>
  </w:style>
  <w:style w:type="paragraph" w:styleId="Title">
    <w:name w:val="Title"/>
    <w:basedOn w:val="Normal"/>
    <w:next w:val="Normal"/>
    <w:link w:val="TitleChar"/>
    <w:uiPriority w:val="10"/>
    <w:qFormat/>
    <w:rsid w:val="000108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085A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8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085A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Quote">
    <w:name w:val="Quote"/>
    <w:basedOn w:val="Normal"/>
    <w:next w:val="Normal"/>
    <w:link w:val="QuoteChar"/>
    <w:uiPriority w:val="29"/>
    <w:qFormat/>
    <w:rsid w:val="00010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085A"/>
    <w:rPr>
      <w:i/>
      <w:iCs/>
      <w:color w:val="404040" w:themeColor="text1" w:themeTint="BF"/>
      <w:lang w:val="fr-FR"/>
    </w:rPr>
  </w:style>
  <w:style w:type="paragraph" w:styleId="ListParagraph">
    <w:name w:val="List Paragraph"/>
    <w:basedOn w:val="Normal"/>
    <w:uiPriority w:val="34"/>
    <w:qFormat/>
    <w:rsid w:val="000108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085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85A"/>
    <w:rPr>
      <w:i/>
      <w:iCs/>
      <w:color w:val="2F5496" w:themeColor="accent1" w:themeShade="BF"/>
      <w:lang w:val="fr-FR"/>
    </w:rPr>
  </w:style>
  <w:style w:type="character" w:styleId="IntenseReference">
    <w:name w:val="Intense Reference"/>
    <w:basedOn w:val="DefaultParagraphFont"/>
    <w:uiPriority w:val="32"/>
    <w:qFormat/>
    <w:rsid w:val="0001085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33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2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127</cp:revision>
  <dcterms:created xsi:type="dcterms:W3CDTF">2025-01-23T08:02:00Z</dcterms:created>
  <dcterms:modified xsi:type="dcterms:W3CDTF">2025-05-12T16:27:00Z</dcterms:modified>
</cp:coreProperties>
</file>